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BC05E9">
      <w:pPr>
        <w:keepNext w:val="0"/>
        <w:keepLines w:val="0"/>
        <w:pageBreakBefore w:val="0"/>
        <w:widowControl w:val="0"/>
        <w:kinsoku/>
        <w:wordWrap/>
        <w:overflowPunct/>
        <w:topLinePunct w:val="0"/>
        <w:autoSpaceDE/>
        <w:autoSpaceDN/>
        <w:bidi w:val="0"/>
        <w:adjustRightInd/>
        <w:spacing w:line="440" w:lineRule="exact"/>
        <w:ind w:left="-68" w:leftChars="-171" w:hanging="291" w:hangingChars="81"/>
        <w:jc w:val="center"/>
        <w:textAlignment w:val="auto"/>
        <w:rPr>
          <w:rFonts w:hint="eastAsia" w:ascii="宋体" w:hAnsi="宋体" w:eastAsia="仿宋"/>
          <w:b w:val="0"/>
          <w:bCs/>
          <w:color w:val="0000FF"/>
          <w:sz w:val="36"/>
          <w:szCs w:val="36"/>
          <w:lang w:val="en-US" w:eastAsia="zh-CN"/>
        </w:rPr>
      </w:pPr>
      <w:r>
        <w:rPr>
          <w:rFonts w:hint="eastAsia" w:ascii="宋体" w:hAnsi="宋体" w:eastAsia="仿宋"/>
          <w:b w:val="0"/>
          <w:bCs/>
          <w:color w:val="0000FF"/>
          <w:sz w:val="36"/>
          <w:szCs w:val="36"/>
          <w:lang w:val="en-US" w:eastAsia="zh-CN"/>
        </w:rPr>
        <w:t>（铝钛硼合金线材 AlTi5B1 Ⅱ）</w:t>
      </w:r>
    </w:p>
    <w:p w14:paraId="6A75556A">
      <w:pPr>
        <w:keepNext w:val="0"/>
        <w:keepLines w:val="0"/>
        <w:pageBreakBefore w:val="0"/>
        <w:widowControl w:val="0"/>
        <w:kinsoku/>
        <w:wordWrap/>
        <w:overflowPunct/>
        <w:topLinePunct w:val="0"/>
        <w:autoSpaceDE/>
        <w:autoSpaceDN/>
        <w:bidi w:val="0"/>
        <w:adjustRightInd/>
        <w:spacing w:line="440" w:lineRule="exact"/>
        <w:ind w:left="-68" w:leftChars="-171" w:hanging="291" w:hangingChars="81"/>
        <w:jc w:val="center"/>
        <w:textAlignment w:val="auto"/>
        <w:rPr>
          <w:rFonts w:hint="eastAsia" w:ascii="宋体" w:hAnsi="宋体" w:eastAsia="仿宋"/>
          <w:b w:val="0"/>
          <w:bCs/>
          <w:color w:val="FF0000"/>
          <w:sz w:val="36"/>
          <w:szCs w:val="36"/>
          <w:lang w:val="en-US" w:eastAsia="zh-CN"/>
        </w:rPr>
      </w:pPr>
    </w:p>
    <w:p w14:paraId="2914523F">
      <w:pPr>
        <w:keepNext w:val="0"/>
        <w:keepLines w:val="0"/>
        <w:pageBreakBefore w:val="0"/>
        <w:widowControl w:val="0"/>
        <w:kinsoku/>
        <w:wordWrap/>
        <w:overflowPunct/>
        <w:topLinePunct w:val="0"/>
        <w:autoSpaceDE/>
        <w:autoSpaceDN/>
        <w:bidi w:val="0"/>
        <w:adjustRightInd/>
        <w:spacing w:line="440" w:lineRule="exact"/>
        <w:ind w:left="-68" w:leftChars="-171" w:hanging="291" w:hangingChars="81"/>
        <w:jc w:val="center"/>
        <w:textAlignment w:val="auto"/>
        <w:rPr>
          <w:rFonts w:hint="eastAsia" w:ascii="宋体" w:hAnsi="宋体" w:eastAsia="仿宋"/>
          <w:b w:val="0"/>
          <w:bCs/>
          <w:sz w:val="36"/>
          <w:szCs w:val="36"/>
          <w:lang w:val="en-US" w:eastAsia="zh-CN"/>
        </w:rPr>
      </w:pPr>
      <w:r>
        <w:rPr>
          <w:rFonts w:hint="eastAsia" w:ascii="宋体" w:hAnsi="宋体" w:eastAsia="仿宋"/>
          <w:b w:val="0"/>
          <w:bCs/>
          <w:sz w:val="36"/>
          <w:szCs w:val="36"/>
          <w:lang w:val="en-US" w:eastAsia="zh-CN"/>
        </w:rPr>
        <w:t>买卖合同</w:t>
      </w:r>
    </w:p>
    <w:p w14:paraId="33AA8C3F">
      <w:pPr>
        <w:keepNext w:val="0"/>
        <w:keepLines w:val="0"/>
        <w:pageBreakBefore w:val="0"/>
        <w:widowControl w:val="0"/>
        <w:kinsoku/>
        <w:wordWrap/>
        <w:overflowPunct/>
        <w:topLinePunct w:val="0"/>
        <w:autoSpaceDE/>
        <w:autoSpaceDN/>
        <w:bidi w:val="0"/>
        <w:adjustRightInd/>
        <w:spacing w:line="440" w:lineRule="exact"/>
        <w:ind w:left="-165" w:leftChars="-171" w:hanging="194" w:hangingChars="81"/>
        <w:jc w:val="center"/>
        <w:textAlignment w:val="auto"/>
        <w:rPr>
          <w:rFonts w:hint="eastAsia" w:ascii="仿宋" w:hAnsi="仿宋" w:eastAsia="仿宋"/>
          <w:sz w:val="28"/>
          <w:szCs w:val="28"/>
          <w:lang w:val="en-US" w:eastAsia="zh-CN"/>
        </w:rPr>
      </w:pPr>
      <w:r>
        <w:rPr>
          <w:rFonts w:hint="eastAsia" w:ascii="仿宋" w:hAnsi="仿宋" w:eastAsia="仿宋"/>
          <w:sz w:val="24"/>
          <w:lang w:val="en-US" w:eastAsia="zh-CN"/>
        </w:rPr>
        <w:t xml:space="preserve">                                   </w:t>
      </w:r>
      <w:r>
        <w:rPr>
          <w:rFonts w:hint="eastAsia" w:ascii="仿宋" w:hAnsi="仿宋" w:eastAsia="仿宋"/>
          <w:sz w:val="28"/>
          <w:szCs w:val="28"/>
        </w:rPr>
        <w:t>合同编号：</w:t>
      </w:r>
      <w:r>
        <w:rPr>
          <w:rFonts w:hint="eastAsia" w:ascii="仿宋" w:hAnsi="仿宋" w:eastAsia="仿宋"/>
          <w:sz w:val="28"/>
          <w:szCs w:val="28"/>
          <w:lang w:val="en-US" w:eastAsia="zh-CN"/>
        </w:rPr>
        <w:t xml:space="preserve"> </w:t>
      </w:r>
    </w:p>
    <w:p w14:paraId="47714348">
      <w:pPr>
        <w:keepNext w:val="0"/>
        <w:keepLines w:val="0"/>
        <w:pageBreakBefore w:val="0"/>
        <w:widowControl w:val="0"/>
        <w:kinsoku/>
        <w:wordWrap/>
        <w:overflowPunct/>
        <w:topLinePunct w:val="0"/>
        <w:autoSpaceDE/>
        <w:autoSpaceDN/>
        <w:bidi w:val="0"/>
        <w:adjustRightInd/>
        <w:spacing w:line="440" w:lineRule="exact"/>
        <w:ind w:left="194" w:hanging="226" w:hangingChars="81"/>
        <w:textAlignment w:val="auto"/>
        <w:rPr>
          <w:rFonts w:hint="eastAsia" w:ascii="仿宋" w:hAnsi="仿宋" w:eastAsia="仿宋"/>
          <w:sz w:val="28"/>
          <w:szCs w:val="28"/>
          <w:lang w:eastAsia="zh-CN"/>
        </w:rPr>
      </w:pPr>
      <w:r>
        <w:rPr>
          <w:rFonts w:hint="eastAsia" w:ascii="仿宋" w:hAnsi="仿宋" w:eastAsia="仿宋"/>
          <w:sz w:val="28"/>
          <w:szCs w:val="28"/>
          <w:lang w:val="en-US" w:eastAsia="zh-CN"/>
        </w:rPr>
        <w:t xml:space="preserve"> </w:t>
      </w:r>
      <w:r>
        <w:rPr>
          <w:rFonts w:hint="eastAsia" w:ascii="仿宋" w:hAnsi="仿宋" w:eastAsia="仿宋"/>
          <w:sz w:val="28"/>
          <w:szCs w:val="28"/>
        </w:rPr>
        <w:t xml:space="preserve">      </w:t>
      </w:r>
      <w:r>
        <w:rPr>
          <w:rFonts w:hint="eastAsia" w:ascii="仿宋" w:hAnsi="仿宋" w:eastAsia="仿宋"/>
          <w:sz w:val="28"/>
          <w:szCs w:val="28"/>
          <w:lang w:val="en-US" w:eastAsia="zh-CN"/>
        </w:rPr>
        <w:t xml:space="preserve">      </w:t>
      </w:r>
      <w:r>
        <w:rPr>
          <w:rFonts w:hint="eastAsia" w:ascii="仿宋" w:hAnsi="仿宋" w:eastAsia="仿宋"/>
          <w:sz w:val="28"/>
          <w:szCs w:val="28"/>
        </w:rPr>
        <w:t xml:space="preserve"> </w:t>
      </w:r>
      <w:r>
        <w:rPr>
          <w:rFonts w:hint="eastAsia" w:ascii="仿宋" w:hAnsi="仿宋" w:eastAsia="仿宋"/>
          <w:sz w:val="28"/>
          <w:szCs w:val="28"/>
          <w:lang w:val="en-US" w:eastAsia="zh-CN"/>
        </w:rPr>
        <w:t xml:space="preserve">                             </w:t>
      </w:r>
      <w:r>
        <w:rPr>
          <w:rFonts w:hint="eastAsia" w:ascii="仿宋" w:hAnsi="仿宋" w:eastAsia="仿宋"/>
          <w:sz w:val="28"/>
          <w:szCs w:val="28"/>
        </w:rPr>
        <w:t>签订时间：</w:t>
      </w:r>
      <w:r>
        <w:rPr>
          <w:rFonts w:hint="eastAsia" w:ascii="仿宋" w:hAnsi="仿宋" w:eastAsia="仿宋"/>
          <w:sz w:val="28"/>
          <w:szCs w:val="28"/>
          <w:lang w:val="en-US" w:eastAsia="zh-CN"/>
        </w:rPr>
        <w:t xml:space="preserve"> </w:t>
      </w:r>
    </w:p>
    <w:p w14:paraId="3A4F2260">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仿宋" w:hAnsi="仿宋" w:eastAsia="仿宋"/>
          <w:sz w:val="28"/>
          <w:szCs w:val="28"/>
        </w:rPr>
      </w:pPr>
      <w:r>
        <w:rPr>
          <w:rFonts w:hint="eastAsia" w:ascii="仿宋" w:hAnsi="仿宋" w:eastAsia="仿宋"/>
          <w:sz w:val="28"/>
          <w:szCs w:val="28"/>
          <w:lang w:val="en-US" w:eastAsia="zh-CN"/>
        </w:rPr>
        <w:t xml:space="preserve">                                           </w:t>
      </w:r>
      <w:r>
        <w:rPr>
          <w:rFonts w:hint="eastAsia" w:ascii="仿宋" w:hAnsi="仿宋" w:eastAsia="仿宋"/>
          <w:sz w:val="28"/>
          <w:szCs w:val="28"/>
        </w:rPr>
        <w:t>签订地点：</w:t>
      </w:r>
    </w:p>
    <w:p w14:paraId="356B9973">
      <w:pPr>
        <w:overflowPunct w:val="0"/>
        <w:spacing w:line="460" w:lineRule="exact"/>
        <w:ind w:firstLine="560" w:firstLineChars="200"/>
        <w:rPr>
          <w:rFonts w:hint="eastAsia" w:ascii="仿宋" w:hAnsi="仿宋" w:eastAsia="仿宋" w:cs="仿宋"/>
          <w:bCs/>
          <w:color w:val="000000"/>
          <w:sz w:val="28"/>
          <w:szCs w:val="28"/>
          <w:highlight w:val="none"/>
        </w:rPr>
      </w:pPr>
    </w:p>
    <w:p w14:paraId="4B6D9E2A">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买方：</w:t>
      </w:r>
    </w:p>
    <w:p w14:paraId="737AF023">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w:t>
      </w:r>
    </w:p>
    <w:p w14:paraId="645220AE">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地址</w:t>
      </w:r>
      <w:r>
        <w:rPr>
          <w:rFonts w:hint="eastAsia" w:ascii="仿宋" w:hAnsi="仿宋" w:eastAsia="仿宋" w:cs="仿宋"/>
          <w:bCs/>
          <w:color w:val="000000"/>
          <w:sz w:val="28"/>
          <w:szCs w:val="28"/>
          <w:highlight w:val="none"/>
        </w:rPr>
        <w:t>：</w:t>
      </w:r>
    </w:p>
    <w:p w14:paraId="30818863">
      <w:pPr>
        <w:overflowPunct w:val="0"/>
        <w:spacing w:line="460" w:lineRule="exact"/>
        <w:ind w:firstLine="560" w:firstLineChars="200"/>
        <w:rPr>
          <w:rFonts w:hint="eastAsia" w:ascii="仿宋" w:hAnsi="仿宋" w:eastAsia="仿宋" w:cs="仿宋"/>
          <w:bCs/>
          <w:color w:val="000000"/>
          <w:sz w:val="28"/>
          <w:szCs w:val="28"/>
          <w:highlight w:val="none"/>
        </w:rPr>
      </w:pPr>
    </w:p>
    <w:p w14:paraId="1AA215AC">
      <w:pPr>
        <w:overflowPunct w:val="0"/>
        <w:spacing w:line="460" w:lineRule="exact"/>
        <w:ind w:firstLine="560" w:firstLineChars="200"/>
        <w:rPr>
          <w:rFonts w:hint="eastAsia"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卖方：</w:t>
      </w:r>
      <w:bookmarkStart w:id="0" w:name="OLE_LINK3"/>
      <w:r>
        <w:rPr>
          <w:rFonts w:hint="eastAsia" w:ascii="仿宋" w:hAnsi="仿宋" w:eastAsia="仿宋" w:cs="仿宋"/>
          <w:bCs/>
          <w:color w:val="000000"/>
          <w:sz w:val="28"/>
          <w:szCs w:val="28"/>
          <w:highlight w:val="none"/>
          <w:lang w:val="en-US" w:eastAsia="zh-CN"/>
        </w:rPr>
        <w:t xml:space="preserve">  </w:t>
      </w:r>
      <w:bookmarkEnd w:id="0"/>
    </w:p>
    <w:p w14:paraId="79F6F981">
      <w:pPr>
        <w:overflowPunct w:val="0"/>
        <w:spacing w:line="460" w:lineRule="exact"/>
        <w:ind w:firstLine="560" w:firstLineChars="200"/>
        <w:rPr>
          <w:rFonts w:hint="eastAsia"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法定代表人：</w:t>
      </w:r>
    </w:p>
    <w:p w14:paraId="79FEDA3B">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地址</w:t>
      </w:r>
      <w:r>
        <w:rPr>
          <w:rFonts w:hint="eastAsia" w:ascii="仿宋" w:hAnsi="仿宋" w:eastAsia="仿宋" w:cs="仿宋"/>
          <w:bCs/>
          <w:color w:val="000000"/>
          <w:sz w:val="28"/>
          <w:szCs w:val="28"/>
          <w:highlight w:val="none"/>
        </w:rPr>
        <w:t>：</w:t>
      </w:r>
    </w:p>
    <w:p w14:paraId="69BB9CDB">
      <w:pPr>
        <w:overflowPunct w:val="0"/>
        <w:spacing w:line="460" w:lineRule="exact"/>
        <w:rPr>
          <w:rFonts w:hint="default" w:ascii="仿宋" w:hAnsi="仿宋" w:eastAsia="仿宋" w:cs="仿宋"/>
          <w:bCs/>
          <w:color w:val="000000"/>
          <w:sz w:val="28"/>
          <w:szCs w:val="28"/>
          <w:highlight w:val="none"/>
          <w:lang w:val="en-US"/>
        </w:rPr>
      </w:pPr>
    </w:p>
    <w:p w14:paraId="3ADF15B7">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根据《中华人民共和国民法典》等法律法规的规定，买卖双方本着平等互利、诚实</w:t>
      </w:r>
      <w:r>
        <w:rPr>
          <w:rFonts w:hint="eastAsia" w:ascii="仿宋" w:hAnsi="仿宋" w:eastAsia="仿宋"/>
          <w:sz w:val="28"/>
          <w:szCs w:val="28"/>
          <w:lang w:val="en-US" w:eastAsia="zh-CN"/>
        </w:rPr>
        <w:t>守信</w:t>
      </w:r>
      <w:r>
        <w:rPr>
          <w:rFonts w:hint="eastAsia" w:ascii="仿宋" w:hAnsi="仿宋" w:eastAsia="仿宋"/>
          <w:sz w:val="28"/>
          <w:szCs w:val="28"/>
        </w:rPr>
        <w:t>的原则，就</w:t>
      </w:r>
      <w:r>
        <w:rPr>
          <w:rFonts w:hint="eastAsia" w:ascii="仿宋" w:hAnsi="仿宋" w:eastAsia="仿宋"/>
          <w:sz w:val="28"/>
          <w:szCs w:val="28"/>
          <w:lang w:val="en-US" w:eastAsia="zh-CN"/>
        </w:rPr>
        <w:t>**买卖</w:t>
      </w:r>
      <w:r>
        <w:rPr>
          <w:rFonts w:hint="eastAsia" w:ascii="仿宋" w:hAnsi="仿宋" w:eastAsia="仿宋"/>
          <w:sz w:val="28"/>
          <w:szCs w:val="28"/>
        </w:rPr>
        <w:t>事宜，</w:t>
      </w:r>
      <w:r>
        <w:rPr>
          <w:rFonts w:hint="eastAsia" w:ascii="仿宋" w:hAnsi="仿宋" w:eastAsia="仿宋"/>
          <w:sz w:val="28"/>
          <w:szCs w:val="28"/>
          <w:lang w:val="en-US" w:eastAsia="zh-CN"/>
        </w:rPr>
        <w:t>根据万基控股集团**定标单（编号：******），</w:t>
      </w:r>
      <w:r>
        <w:rPr>
          <w:rFonts w:hint="eastAsia" w:ascii="仿宋" w:hAnsi="仿宋" w:eastAsia="仿宋"/>
          <w:sz w:val="28"/>
          <w:szCs w:val="28"/>
        </w:rPr>
        <w:t>达成如下协议：</w:t>
      </w:r>
    </w:p>
    <w:p w14:paraId="2FAD9754">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第一条、</w:t>
      </w:r>
      <w:bookmarkStart w:id="1" w:name="OLE_LINK9"/>
      <w:r>
        <w:rPr>
          <w:rFonts w:hint="eastAsia" w:ascii="仿宋" w:hAnsi="仿宋" w:eastAsia="仿宋" w:cs="Times New Roman"/>
          <w:b/>
          <w:bCs w:val="0"/>
          <w:sz w:val="28"/>
          <w:szCs w:val="28"/>
        </w:rPr>
        <w:t>产品</w:t>
      </w:r>
      <w:r>
        <w:rPr>
          <w:rFonts w:hint="eastAsia" w:ascii="仿宋" w:hAnsi="仿宋" w:eastAsia="仿宋" w:cs="Arial"/>
          <w:b/>
          <w:bCs w:val="0"/>
          <w:spacing w:val="-20"/>
          <w:sz w:val="28"/>
          <w:szCs w:val="28"/>
        </w:rPr>
        <w:t>名称、型号、数量、价格、金额</w:t>
      </w:r>
      <w:bookmarkEnd w:id="1"/>
      <w:r>
        <w:rPr>
          <w:rFonts w:hint="eastAsia" w:ascii="仿宋" w:hAnsi="仿宋" w:eastAsia="仿宋" w:cs="Arial"/>
          <w:b/>
          <w:bCs w:val="0"/>
          <w:spacing w:val="-20"/>
          <w:sz w:val="28"/>
          <w:szCs w:val="28"/>
        </w:rPr>
        <w:t>、供货时间</w:t>
      </w:r>
    </w:p>
    <w:tbl>
      <w:tblPr>
        <w:tblStyle w:val="6"/>
        <w:tblW w:w="0" w:type="auto"/>
        <w:tblInd w:w="10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1201"/>
        <w:gridCol w:w="2593"/>
        <w:gridCol w:w="887"/>
        <w:gridCol w:w="1620"/>
        <w:gridCol w:w="1804"/>
        <w:gridCol w:w="1541"/>
      </w:tblGrid>
      <w:tr w14:paraId="2E59E82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08" w:hRule="atLeast"/>
        </w:trPr>
        <w:tc>
          <w:tcPr>
            <w:tcW w:w="1201" w:type="dxa"/>
            <w:tcBorders>
              <w:top w:val="single" w:color="auto" w:sz="8" w:space="0"/>
              <w:left w:val="single" w:color="auto" w:sz="8" w:space="0"/>
              <w:bottom w:val="single" w:color="auto" w:sz="6" w:space="0"/>
              <w:right w:val="single" w:color="auto" w:sz="6" w:space="0"/>
            </w:tcBorders>
            <w:noWrap w:val="0"/>
            <w:vAlign w:val="center"/>
          </w:tcPr>
          <w:p w14:paraId="334AC4DB">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产品名称</w:t>
            </w:r>
          </w:p>
        </w:tc>
        <w:tc>
          <w:tcPr>
            <w:tcW w:w="2593" w:type="dxa"/>
            <w:tcBorders>
              <w:top w:val="single" w:color="auto" w:sz="8" w:space="0"/>
              <w:left w:val="single" w:color="auto" w:sz="6" w:space="0"/>
              <w:bottom w:val="single" w:color="auto" w:sz="4" w:space="0"/>
              <w:right w:val="single" w:color="auto" w:sz="6" w:space="0"/>
            </w:tcBorders>
            <w:noWrap w:val="0"/>
            <w:vAlign w:val="center"/>
          </w:tcPr>
          <w:p w14:paraId="3EBE81E9">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规格型号</w:t>
            </w:r>
          </w:p>
        </w:tc>
        <w:tc>
          <w:tcPr>
            <w:tcW w:w="887" w:type="dxa"/>
            <w:tcBorders>
              <w:top w:val="single" w:color="auto" w:sz="8" w:space="0"/>
              <w:left w:val="single" w:color="auto" w:sz="4" w:space="0"/>
              <w:bottom w:val="single" w:color="auto" w:sz="6" w:space="0"/>
              <w:right w:val="single" w:color="auto" w:sz="6" w:space="0"/>
            </w:tcBorders>
            <w:noWrap w:val="0"/>
            <w:vAlign w:val="center"/>
          </w:tcPr>
          <w:p w14:paraId="28B35841">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单位</w:t>
            </w:r>
          </w:p>
        </w:tc>
        <w:tc>
          <w:tcPr>
            <w:tcW w:w="1620" w:type="dxa"/>
            <w:tcBorders>
              <w:top w:val="single" w:color="auto" w:sz="8" w:space="0"/>
              <w:left w:val="single" w:color="auto" w:sz="6" w:space="0"/>
              <w:bottom w:val="single" w:color="auto" w:sz="6" w:space="0"/>
              <w:right w:val="single" w:color="auto" w:sz="6" w:space="0"/>
            </w:tcBorders>
            <w:noWrap w:val="0"/>
            <w:vAlign w:val="center"/>
          </w:tcPr>
          <w:p w14:paraId="4790E917">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数量</w:t>
            </w:r>
          </w:p>
        </w:tc>
        <w:tc>
          <w:tcPr>
            <w:tcW w:w="1804" w:type="dxa"/>
            <w:tcBorders>
              <w:top w:val="single" w:color="auto" w:sz="8" w:space="0"/>
              <w:left w:val="single" w:color="auto" w:sz="6" w:space="0"/>
              <w:bottom w:val="single" w:color="auto" w:sz="6" w:space="0"/>
              <w:right w:val="single" w:color="auto" w:sz="6" w:space="0"/>
            </w:tcBorders>
            <w:noWrap w:val="0"/>
            <w:vAlign w:val="center"/>
          </w:tcPr>
          <w:p w14:paraId="1B3995A9">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sz w:val="28"/>
                <w:szCs w:val="28"/>
                <w:lang w:val="en-US" w:eastAsia="zh-CN"/>
              </w:rPr>
              <w:t>单价(元/**)</w:t>
            </w:r>
          </w:p>
        </w:tc>
        <w:tc>
          <w:tcPr>
            <w:tcW w:w="1541" w:type="dxa"/>
            <w:tcBorders>
              <w:top w:val="single" w:color="auto" w:sz="8" w:space="0"/>
              <w:left w:val="single" w:color="auto" w:sz="6" w:space="0"/>
              <w:bottom w:val="single" w:color="auto" w:sz="6" w:space="0"/>
              <w:right w:val="single" w:color="auto" w:sz="8" w:space="0"/>
            </w:tcBorders>
            <w:noWrap w:val="0"/>
            <w:vAlign w:val="center"/>
          </w:tcPr>
          <w:p w14:paraId="41BCEE30">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总价（元）</w:t>
            </w:r>
          </w:p>
        </w:tc>
      </w:tr>
      <w:tr w14:paraId="67055D3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01" w:type="dxa"/>
            <w:tcBorders>
              <w:top w:val="single" w:color="auto" w:sz="6" w:space="0"/>
              <w:left w:val="single" w:color="auto" w:sz="8" w:space="0"/>
              <w:bottom w:val="single" w:color="auto" w:sz="6" w:space="0"/>
              <w:right w:val="single" w:color="auto" w:sz="6" w:space="0"/>
            </w:tcBorders>
            <w:noWrap w:val="0"/>
            <w:vAlign w:val="center"/>
          </w:tcPr>
          <w:p w14:paraId="4501C04F">
            <w:pPr>
              <w:keepNext w:val="0"/>
              <w:keepLines w:val="0"/>
              <w:pageBreakBefore w:val="0"/>
              <w:widowControl w:val="0"/>
              <w:kinsoku/>
              <w:wordWrap/>
              <w:overflowPunct/>
              <w:topLinePunct w:val="0"/>
              <w:autoSpaceDE/>
              <w:autoSpaceDN/>
              <w:bidi w:val="0"/>
              <w:adjustRightInd/>
              <w:spacing w:line="440" w:lineRule="exact"/>
              <w:ind w:firstLine="140" w:firstLineChars="50"/>
              <w:textAlignment w:val="auto"/>
              <w:rPr>
                <w:rFonts w:hint="default" w:ascii="仿宋" w:hAnsi="仿宋" w:eastAsia="仿宋" w:cs="仿宋"/>
                <w:sz w:val="28"/>
                <w:szCs w:val="28"/>
                <w:lang w:val="en-US" w:eastAsia="zh-CN"/>
              </w:rPr>
            </w:pPr>
          </w:p>
        </w:tc>
        <w:tc>
          <w:tcPr>
            <w:tcW w:w="2593" w:type="dxa"/>
            <w:tcBorders>
              <w:top w:val="single" w:color="auto" w:sz="4" w:space="0"/>
              <w:left w:val="single" w:color="auto" w:sz="6" w:space="0"/>
              <w:bottom w:val="single" w:color="auto" w:sz="6" w:space="0"/>
              <w:right w:val="single" w:color="auto" w:sz="6" w:space="0"/>
            </w:tcBorders>
            <w:noWrap w:val="0"/>
            <w:vAlign w:val="center"/>
          </w:tcPr>
          <w:p w14:paraId="3511512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8"/>
                <w:szCs w:val="28"/>
                <w:lang w:val="en-US" w:eastAsia="zh-CN"/>
              </w:rPr>
            </w:pPr>
          </w:p>
        </w:tc>
        <w:tc>
          <w:tcPr>
            <w:tcW w:w="887" w:type="dxa"/>
            <w:tcBorders>
              <w:top w:val="single" w:color="auto" w:sz="6" w:space="0"/>
              <w:left w:val="single" w:color="auto" w:sz="4" w:space="0"/>
              <w:bottom w:val="single" w:color="auto" w:sz="6" w:space="0"/>
              <w:right w:val="single" w:color="auto" w:sz="6" w:space="0"/>
            </w:tcBorders>
            <w:noWrap w:val="0"/>
            <w:vAlign w:val="center"/>
          </w:tcPr>
          <w:p w14:paraId="63B1030D">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p>
        </w:tc>
        <w:tc>
          <w:tcPr>
            <w:tcW w:w="1620" w:type="dxa"/>
            <w:tcBorders>
              <w:top w:val="single" w:color="auto" w:sz="6" w:space="0"/>
              <w:left w:val="single" w:color="auto" w:sz="6" w:space="0"/>
              <w:bottom w:val="single" w:color="auto" w:sz="6" w:space="0"/>
              <w:right w:val="single" w:color="auto" w:sz="6" w:space="0"/>
            </w:tcBorders>
            <w:noWrap w:val="0"/>
            <w:vAlign w:val="center"/>
          </w:tcPr>
          <w:p w14:paraId="107CC037">
            <w:pPr>
              <w:keepNext w:val="0"/>
              <w:keepLines w:val="0"/>
              <w:pageBreakBefore w:val="0"/>
              <w:widowControl w:val="0"/>
              <w:kinsoku/>
              <w:wordWrap/>
              <w:overflowPunct/>
              <w:topLinePunct w:val="0"/>
              <w:autoSpaceDE/>
              <w:autoSpaceDN/>
              <w:bidi w:val="0"/>
              <w:adjustRightInd/>
              <w:spacing w:line="440" w:lineRule="exact"/>
              <w:ind w:firstLine="140" w:firstLineChars="50"/>
              <w:textAlignment w:val="auto"/>
              <w:rPr>
                <w:rFonts w:hint="default" w:ascii="仿宋" w:hAnsi="仿宋" w:eastAsia="仿宋" w:cs="仿宋"/>
                <w:sz w:val="28"/>
                <w:szCs w:val="28"/>
                <w:lang w:val="en-US" w:eastAsia="zh-CN"/>
              </w:rPr>
            </w:pPr>
            <w:r>
              <w:rPr>
                <w:rFonts w:hint="eastAsia" w:ascii="仿宋" w:hAnsi="仿宋" w:eastAsia="仿宋" w:cs="仿宋"/>
                <w:bCs/>
                <w:color w:val="auto"/>
                <w:sz w:val="28"/>
                <w:szCs w:val="28"/>
                <w:highlight w:val="none"/>
                <w:lang w:val="en-US" w:eastAsia="zh-CN"/>
              </w:rPr>
              <w:t xml:space="preserve"> </w:t>
            </w:r>
          </w:p>
        </w:tc>
        <w:tc>
          <w:tcPr>
            <w:tcW w:w="1804" w:type="dxa"/>
            <w:tcBorders>
              <w:top w:val="single" w:color="auto" w:sz="6" w:space="0"/>
              <w:left w:val="single" w:color="auto" w:sz="6" w:space="0"/>
              <w:bottom w:val="single" w:color="auto" w:sz="6" w:space="0"/>
              <w:right w:val="single" w:color="auto" w:sz="6" w:space="0"/>
            </w:tcBorders>
            <w:noWrap w:val="0"/>
            <w:vAlign w:val="center"/>
          </w:tcPr>
          <w:p w14:paraId="7EB2C7FA">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仿宋" w:hAnsi="仿宋" w:eastAsia="仿宋" w:cs="仿宋"/>
                <w:sz w:val="28"/>
                <w:szCs w:val="28"/>
                <w:lang w:val="en-US" w:eastAsia="zh-CN"/>
              </w:rPr>
            </w:pPr>
          </w:p>
        </w:tc>
        <w:tc>
          <w:tcPr>
            <w:tcW w:w="1541" w:type="dxa"/>
            <w:tcBorders>
              <w:top w:val="single" w:color="auto" w:sz="6" w:space="0"/>
              <w:left w:val="single" w:color="auto" w:sz="6" w:space="0"/>
              <w:bottom w:val="single" w:color="auto" w:sz="6" w:space="0"/>
              <w:right w:val="single" w:color="auto" w:sz="8" w:space="0"/>
            </w:tcBorders>
            <w:noWrap w:val="0"/>
            <w:vAlign w:val="center"/>
          </w:tcPr>
          <w:p w14:paraId="56F03E60">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仿宋" w:hAnsi="仿宋" w:eastAsia="仿宋" w:cs="仿宋"/>
                <w:sz w:val="28"/>
                <w:szCs w:val="28"/>
                <w:lang w:val="en-US" w:eastAsia="zh-CN"/>
              </w:rPr>
            </w:pPr>
          </w:p>
        </w:tc>
      </w:tr>
      <w:tr w14:paraId="7C2C5DC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55A73A92">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rPr>
              <w:t>不含税金额</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 xml:space="preserve">   税率</w:t>
            </w:r>
            <w:r>
              <w:rPr>
                <w:rFonts w:hint="eastAsia" w:ascii="仿宋" w:hAnsi="仿宋" w:eastAsia="仿宋"/>
                <w:sz w:val="28"/>
                <w:szCs w:val="28"/>
                <w:lang w:val="en-US" w:eastAsia="zh-CN"/>
              </w:rPr>
              <w:t>：【**】</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税额：</w:t>
            </w:r>
            <w:r>
              <w:rPr>
                <w:rFonts w:hint="eastAsia" w:ascii="仿宋" w:hAnsi="仿宋" w:eastAsia="仿宋" w:cs="仿宋"/>
                <w:bCs/>
                <w:color w:val="auto"/>
                <w:sz w:val="28"/>
                <w:szCs w:val="28"/>
                <w:highlight w:val="none"/>
                <w:lang w:val="en-US" w:eastAsia="zh-CN"/>
              </w:rPr>
              <w:t xml:space="preserve"> </w:t>
            </w:r>
          </w:p>
        </w:tc>
      </w:tr>
      <w:tr w14:paraId="424244F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57B29C1E">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rPr>
              <w:t>合计（大写）：</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lang w:val="en-US" w:eastAsia="zh-CN"/>
              </w:rPr>
              <w:t xml:space="preserve"> </w:t>
            </w:r>
          </w:p>
        </w:tc>
      </w:tr>
      <w:tr w14:paraId="7FAAC7B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064975DF">
            <w:pPr>
              <w:keepNext w:val="0"/>
              <w:keepLines w:val="0"/>
              <w:pageBreakBefore w:val="0"/>
              <w:widowControl w:val="0"/>
              <w:kinsoku/>
              <w:wordWrap/>
              <w:overflowPunct/>
              <w:topLinePunct w:val="0"/>
              <w:autoSpaceDE/>
              <w:autoSpaceDN/>
              <w:bidi w:val="0"/>
              <w:adjustRightInd/>
              <w:snapToGrid w:val="0"/>
              <w:spacing w:line="440" w:lineRule="exact"/>
              <w:ind w:left="560" w:leftChars="0" w:hanging="560" w:hangingChars="200"/>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rPr>
              <w:t>供货时间：</w:t>
            </w:r>
            <w:r>
              <w:rPr>
                <w:rFonts w:hint="eastAsia" w:ascii="仿宋" w:hAnsi="仿宋" w:eastAsia="仿宋" w:cs="仿宋"/>
                <w:bCs/>
                <w:color w:val="auto"/>
                <w:sz w:val="28"/>
                <w:szCs w:val="28"/>
                <w:highlight w:val="none"/>
                <w:u w:val="single" w:color="FFFFFF"/>
                <w:lang w:val="en-US" w:eastAsia="zh-CN"/>
              </w:rPr>
              <w:t xml:space="preserve"> </w:t>
            </w:r>
            <w:r>
              <w:rPr>
                <w:rFonts w:hint="eastAsia" w:ascii="仿宋" w:hAnsi="仿宋" w:eastAsia="仿宋" w:cs="仿宋"/>
                <w:bCs/>
                <w:color w:val="auto"/>
                <w:sz w:val="28"/>
                <w:szCs w:val="28"/>
                <w:highlight w:val="none"/>
                <w:u w:val="single" w:color="FFFFFF"/>
              </w:rPr>
              <w:t xml:space="preserve">   </w:t>
            </w:r>
            <w:r>
              <w:rPr>
                <w:rFonts w:hint="eastAsia" w:ascii="仿宋" w:hAnsi="仿宋" w:eastAsia="仿宋" w:cs="仿宋"/>
                <w:bCs/>
                <w:color w:val="auto"/>
                <w:sz w:val="28"/>
                <w:szCs w:val="28"/>
                <w:highlight w:val="none"/>
              </w:rPr>
              <w:t xml:space="preserve">           </w:t>
            </w:r>
          </w:p>
        </w:tc>
      </w:tr>
      <w:tr w14:paraId="33B0246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6C955F46">
            <w:pPr>
              <w:keepNext w:val="0"/>
              <w:keepLines w:val="0"/>
              <w:pageBreakBefore w:val="0"/>
              <w:widowControl w:val="0"/>
              <w:kinsoku/>
              <w:wordWrap/>
              <w:overflowPunct/>
              <w:topLinePunct w:val="0"/>
              <w:autoSpaceDE/>
              <w:autoSpaceDN/>
              <w:bidi w:val="0"/>
              <w:adjustRightInd/>
              <w:snapToGrid w:val="0"/>
              <w:spacing w:line="440" w:lineRule="exact"/>
              <w:ind w:left="560" w:leftChars="0" w:hanging="560" w:hanging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生产厂家：</w:t>
            </w:r>
          </w:p>
        </w:tc>
      </w:tr>
    </w:tbl>
    <w:p w14:paraId="6B96842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第二条、质量要求、技术标准</w:t>
      </w:r>
    </w:p>
    <w:p w14:paraId="21156D8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1、</w:t>
      </w:r>
      <w:r>
        <w:rPr>
          <w:rFonts w:hint="eastAsia" w:ascii="仿宋" w:hAnsi="仿宋" w:eastAsia="仿宋" w:cs="Times New Roman"/>
          <w:b w:val="0"/>
          <w:bCs w:val="0"/>
          <w:color w:val="auto"/>
          <w:kern w:val="2"/>
          <w:sz w:val="28"/>
          <w:szCs w:val="28"/>
          <w:lang w:val="en-US" w:eastAsia="zh-CN" w:bidi="ar-SA"/>
        </w:rPr>
        <w:t>质量标准：</w:t>
      </w:r>
      <w:r>
        <w:rPr>
          <w:rFonts w:hint="eastAsia" w:ascii="仿宋" w:hAnsi="仿宋" w:eastAsia="仿宋"/>
          <w:sz w:val="28"/>
          <w:szCs w:val="28"/>
          <w:lang w:val="en-US" w:eastAsia="zh-CN"/>
        </w:rPr>
        <w:t>(1)化学成分：4.5%≦Ti≦5.5%,0.8%≦B≦1.2%,Fe≦0.30%,Si≦0.20%,K≦0.10%,V≦0.10%,单个≦0.03%,合计≦0.10%,余量Al。(2)外形尺寸：直径9.5±0.3mm，内、外径360±20mm、750±20m，线卷高度280±20mm。(3)外观质量：线材应表面光滑清洁，不应存在夹渣、腐蚀、夹杂物、油污或其它外来物等，不允许有肉眼可见的裂纹、起皮及扭折；线材表面允许有不影响使用的表面发暗，局部的氧化色及深度不超出线材直径允许偏差的斑点、划伤等缺陷。(4)接头：接头率≤10%，每卷≤1个。(5)显微组织：TiB2粒子：TiB2粒子最大尺寸≤10um，分布大致均匀弥散；TiB2团聚：TiB2团聚尺寸20-50um≤6个，尺寸≥50um不准许；TiAl3粒子：TiAl3粒子平均尺寸≤50um，最大尺寸≤200um，成块状或杆状，分布大致均匀；氧化物及盐类夹杂：氧化物及盐类夹渣总长度≤3000um；固体夹杂：不准许有铝硼化合物、耐火材料、未溶解的金属夹杂等固体夹杂。(6)晶粒细化效果，平均晶粒尺寸um：水冷锥模法≤150,空冷环模法≤300。(7)标识：每间隔1米或0.5米应做连续标识，标识应含有生产厂家、牌号、等级、批号等内容，并按照YS/T447.1-2023的要求做好颜色标识。（8）到货时生产日期不得超过3个月。（9）</w:t>
      </w:r>
      <w:r>
        <w:rPr>
          <w:rFonts w:hint="eastAsia" w:ascii="仿宋" w:hAnsi="仿宋" w:eastAsia="仿宋"/>
          <w:color w:val="auto"/>
          <w:sz w:val="28"/>
          <w:szCs w:val="28"/>
          <w:lang w:val="en-US" w:eastAsia="zh-CN"/>
        </w:rPr>
        <w:t>未明确约定的适用国家标准或行业标准</w:t>
      </w:r>
      <w:r>
        <w:rPr>
          <w:rFonts w:hint="eastAsia" w:ascii="仿宋" w:hAnsi="仿宋" w:eastAsia="仿宋"/>
          <w:sz w:val="28"/>
          <w:szCs w:val="28"/>
          <w:lang w:val="en-US" w:eastAsia="zh-CN"/>
        </w:rPr>
        <w:t>。</w:t>
      </w:r>
    </w:p>
    <w:p w14:paraId="483F8AD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Times New Roman"/>
          <w:b w:val="0"/>
          <w:bCs w:val="0"/>
          <w:color w:val="auto"/>
          <w:kern w:val="2"/>
          <w:sz w:val="28"/>
          <w:szCs w:val="28"/>
          <w:lang w:val="en-US" w:eastAsia="zh-CN" w:bidi="ar-SA"/>
        </w:rPr>
      </w:pPr>
      <w:r>
        <w:rPr>
          <w:rFonts w:hint="eastAsia" w:ascii="仿宋" w:hAnsi="仿宋" w:eastAsia="仿宋"/>
          <w:sz w:val="28"/>
          <w:szCs w:val="28"/>
          <w:lang w:val="en-US" w:eastAsia="zh-CN"/>
        </w:rPr>
        <w:t>不得使用再生原料生产，质量</w:t>
      </w:r>
      <w:r>
        <w:rPr>
          <w:rFonts w:hint="eastAsia" w:ascii="仿宋" w:hAnsi="仿宋" w:eastAsia="仿宋"/>
          <w:color w:val="auto"/>
          <w:sz w:val="28"/>
          <w:szCs w:val="28"/>
          <w:lang w:val="en-US" w:eastAsia="zh-CN"/>
        </w:rPr>
        <w:t>满足买方生产需要</w:t>
      </w:r>
      <w:r>
        <w:rPr>
          <w:rFonts w:hint="eastAsia" w:ascii="仿宋" w:hAnsi="仿宋" w:eastAsia="仿宋" w:cs="Times New Roman"/>
          <w:b w:val="0"/>
          <w:bCs w:val="0"/>
          <w:color w:val="auto"/>
          <w:kern w:val="2"/>
          <w:sz w:val="28"/>
          <w:szCs w:val="28"/>
          <w:lang w:val="en-US" w:eastAsia="zh-CN" w:bidi="ar-SA"/>
        </w:rPr>
        <w:t>。</w:t>
      </w:r>
      <w:r>
        <w:rPr>
          <w:rFonts w:hint="eastAsia" w:ascii="仿宋" w:hAnsi="仿宋" w:eastAsia="仿宋"/>
          <w:color w:val="auto"/>
          <w:sz w:val="28"/>
          <w:szCs w:val="28"/>
          <w:lang w:val="en-US" w:eastAsia="zh-CN"/>
        </w:rPr>
        <w:t>若国家（行业）标准严于合同约定标准的，适用国家(行业）标准；若无技术标准或无采购标准的，卖方所供产品质量应与其提供的样品质量保持一致。</w:t>
      </w:r>
    </w:p>
    <w:p w14:paraId="6916716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s="Times New Roman"/>
          <w:b w:val="0"/>
          <w:bCs w:val="0"/>
          <w:color w:val="auto"/>
          <w:kern w:val="2"/>
          <w:sz w:val="28"/>
          <w:szCs w:val="28"/>
          <w:lang w:val="en-US" w:eastAsia="zh-CN" w:bidi="ar-SA"/>
        </w:rPr>
        <w:t>2、</w:t>
      </w:r>
      <w:r>
        <w:rPr>
          <w:rFonts w:hint="eastAsia" w:ascii="仿宋" w:hAnsi="仿宋" w:eastAsia="仿宋"/>
          <w:color w:val="auto"/>
          <w:sz w:val="28"/>
          <w:szCs w:val="28"/>
          <w:lang w:val="en-US" w:eastAsia="zh-CN"/>
        </w:rPr>
        <w:t>卖方应随所供货物一并提交生产厂家出具的质量检验单、原始磅单，但前述文件不作为货物内在质量及数量的最终认定依据。若卖方提供的货物质量及数量数据与买方检测数据无显著差异的，以买方检测数据为准。卖方首次供货时，应提供合格样品及具备相应资质的第三方检测机构出具的检测报告；正常供货期间，应每季度提供具备相应资质的第三方检测机构出具的检测报告；若卖方未按前述要求提供的，买方有权拒收货物。​</w:t>
      </w:r>
    </w:p>
    <w:p w14:paraId="76B84AB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3、若卖方为贸易商，应加强对进货渠道的管理与控制，必须直接从货物生产厂家采购，严禁出现“多手转供” 行为；若卖方违反前述约定的，买方有权立即暂停采购或终止与卖方的合作关系，取消其供货资格，并要求卖方支付合同总金额30%的违约金。</w:t>
      </w:r>
    </w:p>
    <w:p w14:paraId="14570D5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4、卖方发生材料配方变更、加工工艺变更、二级供应商变更、生产场地变更、供应商关键工艺过程变更及其他可能影响产品质量的变更的，应提前 90 日书面通知买方，且需通过相关检测、实验证明所供产品符合买方技术标准及质量要求后，向买方提交样品及相关验证报告，经买方书面同意后方可正式供货。若卖方未按前述约定履行的，一经发现，买方有权立即暂停采购或终止与卖方的合作关系，取消其供货资格，有权要求卖方支付合同总金额30%的违约金并赔偿因此给买方造成的全部损失。</w:t>
      </w:r>
    </w:p>
    <w:p w14:paraId="4876CA1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5、卖方所供产品不符合买方规定的质量标准及规格要求的，卖方应于接到买方质量异常反馈之日起3日内，向买方提交书面回复，并承担因该质量异常产生的全部损失。若卖方未按前述期限提交书面回复的，买方有权要求卖方按照质量异常产品总价值3‰-5‰的标准/次支付违约金。若卖方累计三次逾期未回复或连续两次出现同类质量问题的，买方有权立即暂停采购或终止与卖方的合作关系，取消其供货资格。</w:t>
      </w:r>
    </w:p>
    <w:p w14:paraId="490993C2">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6、卖方应配合买方开展质量审计、质量跟踪或现场核查工作。若买方在前述工作中提出任何异常反馈，卖方应于收到该反馈之日起48小时内，就反馈事项向买方作出回复；若卖方未按时回复或未按期完成整改且无正当理由的，买方有权立即暂停采购或终止与卖方的合作关系，取消其供货资格。</w:t>
      </w:r>
    </w:p>
    <w:p w14:paraId="388B816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7、卖方存在弄虚作假、掺杂使假、以次充好、偷工减料、商业欺诈、隐瞒产品质量隐患、供应变质及假冒伪劣产品、放任不合格品流入买方、故意伪造或篡改质量记录及报告等不诚信行为，一经买方发现，买方有权立即暂停采购或终止与卖方的合作关系，取消其供货资格，且要求卖方退回买方就问题货物已支付的全部款项；除依法追究卖方因前述行为造成的全部损失赔偿责任外，买方还有权要求卖方支付违约金（计算标准为：当批次供货货值总额的10倍或合同总额的30%，二者取较高值），买方有权从卖方的保证金和买方应付货款中直接扣除违约金和赔偿损失金额；同时，买方有权将卖方认定为“不合格供应商”，并依据卖方已知悉并同意的管理制度对其予以清退，自清退之日起五年内，不再接受该卖方（含与该卖方为同一法定代表人或实际控制人的主体）的准入申请。</w:t>
      </w:r>
    </w:p>
    <w:p w14:paraId="5712EFD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Times New Roman"/>
          <w:b w:val="0"/>
          <w:bCs w:val="0"/>
          <w:color w:val="auto"/>
          <w:kern w:val="2"/>
          <w:sz w:val="28"/>
          <w:szCs w:val="28"/>
          <w:lang w:val="en-US" w:eastAsia="zh-CN" w:bidi="ar-SA"/>
        </w:rPr>
      </w:pPr>
      <w:r>
        <w:rPr>
          <w:rFonts w:hint="eastAsia" w:ascii="仿宋" w:hAnsi="仿宋" w:eastAsia="仿宋"/>
          <w:color w:val="auto"/>
          <w:sz w:val="28"/>
          <w:szCs w:val="28"/>
          <w:lang w:val="en-US" w:eastAsia="zh-CN"/>
        </w:rPr>
        <w:t>8、卖方存在前述任一违约行为的，买方有权立即暂停采购或终止与卖方的合作关系，取消其供货资格，并要求卖方配合买方开展相关调查工作；卖方应承担违约及损失赔偿责任，赔偿范围除因卖方违约导致的停产停线损失、不良产品相关损失等直接损失外，还包括由此产生的物料返工费、人工费、能耗费、运输费、商誉损失、安全事故损失，以及买方因下游客户投诉而支付的赔偿费用等。买方有权从卖方的保证金和买方应付货款中直接扣除违约金和赔偿损失金额。</w:t>
      </w:r>
    </w:p>
    <w:p w14:paraId="73DBC1B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第三条、产品包装</w:t>
      </w:r>
    </w:p>
    <w:p w14:paraId="1EA3F81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color w:val="0000FF"/>
          <w:kern w:val="2"/>
          <w:sz w:val="28"/>
          <w:szCs w:val="28"/>
          <w:lang w:val="en-US" w:eastAsia="zh-CN" w:bidi="ar-SA"/>
        </w:rPr>
      </w:pPr>
      <w:r>
        <w:rPr>
          <w:rFonts w:hint="eastAsia" w:ascii="仿宋" w:hAnsi="仿宋" w:eastAsia="仿宋" w:cs="仿宋"/>
          <w:b w:val="0"/>
          <w:bCs/>
          <w:kern w:val="2"/>
          <w:sz w:val="28"/>
          <w:szCs w:val="28"/>
          <w:lang w:val="en-US" w:eastAsia="zh-CN" w:bidi="ar-SA"/>
        </w:rPr>
        <w:t>卖方采用3卷串联包装，用钢带或塑钢带固定在木底托上，外用塑料包装，整体包装完好，无破损。</w:t>
      </w:r>
      <w:r>
        <w:rPr>
          <w:rFonts w:hint="default" w:ascii="仿宋" w:hAnsi="仿宋" w:eastAsia="仿宋" w:cs="仿宋"/>
          <w:b w:val="0"/>
          <w:bCs/>
          <w:kern w:val="2"/>
          <w:sz w:val="28"/>
          <w:szCs w:val="28"/>
          <w:lang w:val="en-US" w:eastAsia="zh-CN" w:bidi="ar-SA"/>
        </w:rPr>
        <w:t>包装物</w:t>
      </w:r>
      <w:r>
        <w:rPr>
          <w:rFonts w:hint="eastAsia" w:ascii="仿宋" w:hAnsi="仿宋" w:eastAsia="仿宋" w:cs="仿宋"/>
          <w:b w:val="0"/>
          <w:bCs/>
          <w:kern w:val="2"/>
          <w:sz w:val="28"/>
          <w:szCs w:val="28"/>
          <w:lang w:val="en-US" w:eastAsia="zh-CN" w:bidi="ar-SA"/>
        </w:rPr>
        <w:t>未尽事项应符合国家或行业标准，适于产品运输和保存，包装物由卖方提供，不计重、不计价、不回收，费用含在合同单价内。</w:t>
      </w:r>
      <w:r>
        <w:rPr>
          <w:rFonts w:hint="eastAsia" w:ascii="仿宋" w:hAnsi="仿宋" w:eastAsia="仿宋"/>
          <w:color w:val="0000FF"/>
          <w:kern w:val="2"/>
          <w:sz w:val="28"/>
          <w:szCs w:val="28"/>
          <w:lang w:val="en-US" w:eastAsia="zh-CN" w:bidi="ar-SA"/>
        </w:rPr>
        <w:t>（</w:t>
      </w:r>
      <w:r>
        <w:rPr>
          <w:rFonts w:hint="eastAsia" w:ascii="仿宋" w:hAnsi="仿宋" w:eastAsia="仿宋" w:cs="仿宋"/>
          <w:b w:val="0"/>
          <w:bCs/>
          <w:color w:val="0000FF"/>
          <w:sz w:val="28"/>
          <w:szCs w:val="28"/>
          <w:highlight w:val="none"/>
          <w:lang w:val="en-US" w:eastAsia="zh-CN"/>
        </w:rPr>
        <w:t>对包装物有特殊要求的需明确约定，包装物不同应区别制定扣重标准</w:t>
      </w:r>
      <w:r>
        <w:rPr>
          <w:rFonts w:hint="eastAsia" w:ascii="仿宋" w:hAnsi="仿宋" w:eastAsia="仿宋"/>
          <w:color w:val="0000FF"/>
          <w:kern w:val="2"/>
          <w:sz w:val="28"/>
          <w:szCs w:val="28"/>
          <w:lang w:val="en-US" w:eastAsia="zh-CN" w:bidi="ar-SA"/>
        </w:rPr>
        <w:t>）</w:t>
      </w:r>
    </w:p>
    <w:p w14:paraId="725D6CB5">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第四条、交货方式</w:t>
      </w:r>
    </w:p>
    <w:p w14:paraId="7CECB49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1、卖方按合同约定时间将全部货物运送至买方仓库，并交由买方收货联系人签收，卖方应当在送货前1个工作日与买方联系。</w:t>
      </w:r>
    </w:p>
    <w:p w14:paraId="46493C4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2、运输费用由卖方承担并已含在合同总价内，买方负责卸车并承担卸车费用。货物交付</w:t>
      </w:r>
      <w:r>
        <w:rPr>
          <w:rFonts w:hint="eastAsia" w:ascii="仿宋" w:hAnsi="仿宋" w:eastAsia="仿宋" w:cs="仿宋"/>
          <w:b w:val="0"/>
          <w:bCs/>
          <w:color w:val="auto"/>
          <w:kern w:val="2"/>
          <w:sz w:val="28"/>
          <w:szCs w:val="28"/>
          <w:lang w:val="en-US" w:eastAsia="zh-CN" w:bidi="ar-SA"/>
        </w:rPr>
        <w:t>经买方签收</w:t>
      </w:r>
      <w:r>
        <w:rPr>
          <w:rFonts w:hint="eastAsia" w:ascii="仿宋" w:hAnsi="仿宋" w:eastAsia="仿宋" w:cs="仿宋"/>
          <w:b w:val="0"/>
          <w:bCs/>
          <w:kern w:val="2"/>
          <w:sz w:val="28"/>
          <w:szCs w:val="28"/>
          <w:lang w:val="en-US" w:eastAsia="zh-CN" w:bidi="ar-SA"/>
        </w:rPr>
        <w:t>前的风险由卖方承担。</w:t>
      </w:r>
    </w:p>
    <w:p w14:paraId="11FBB7F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3、卖方运输车辆必须符合排放标准及买方环保管控要求</w:t>
      </w:r>
      <w:r>
        <w:rPr>
          <w:rFonts w:hint="eastAsia" w:ascii="仿宋" w:hAnsi="仿宋" w:eastAsia="仿宋" w:cs="Times New Roman"/>
          <w:b w:val="0"/>
          <w:bCs w:val="0"/>
          <w:color w:val="0000FF"/>
          <w:sz w:val="28"/>
          <w:szCs w:val="28"/>
          <w:highlight w:val="none"/>
          <w:lang w:val="en-US" w:eastAsia="zh-CN"/>
        </w:rPr>
        <w:t>（燃油“国五”以上、天然气“国六”以上或按要求使用新能源汽车）</w:t>
      </w:r>
      <w:r>
        <w:rPr>
          <w:rFonts w:hint="eastAsia" w:ascii="仿宋" w:hAnsi="仿宋" w:eastAsia="仿宋" w:cs="仿宋"/>
          <w:b w:val="0"/>
          <w:bCs/>
          <w:kern w:val="2"/>
          <w:sz w:val="28"/>
          <w:szCs w:val="28"/>
          <w:lang w:val="en-US" w:eastAsia="zh-CN" w:bidi="ar-SA"/>
        </w:rPr>
        <w:t>，因车辆排放不达标给买方造成不良后果的，一切后果由卖方承担。</w:t>
      </w:r>
    </w:p>
    <w:p w14:paraId="07E3F69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4、货物发出后，卖方应及时向买方提供发货明细、承运车辆、司机、</w:t>
      </w:r>
      <w:r>
        <w:rPr>
          <w:rFonts w:hint="eastAsia" w:ascii="仿宋" w:hAnsi="仿宋" w:eastAsia="仿宋"/>
          <w:color w:val="auto"/>
          <w:sz w:val="28"/>
          <w:szCs w:val="28"/>
          <w:highlight w:val="none"/>
          <w:lang w:val="en-US" w:eastAsia="zh-CN"/>
        </w:rPr>
        <w:t>在货源地拍摄车辆正面水印照片</w:t>
      </w:r>
      <w:r>
        <w:rPr>
          <w:rFonts w:hint="eastAsia" w:ascii="仿宋" w:hAnsi="仿宋" w:eastAsia="仿宋" w:cs="仿宋"/>
          <w:b w:val="0"/>
          <w:bCs/>
          <w:kern w:val="2"/>
          <w:sz w:val="28"/>
          <w:szCs w:val="28"/>
          <w:lang w:val="en-US" w:eastAsia="zh-CN" w:bidi="ar-SA"/>
        </w:rPr>
        <w:t>等信息，应配合买方查询并掌握运输车辆定位及运行轨迹。</w:t>
      </w:r>
    </w:p>
    <w:p w14:paraId="349E3FC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第五条、产品验收</w:t>
      </w:r>
    </w:p>
    <w:p w14:paraId="6ABB2DC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1、买方应当在实际收到货物后【**】日内按本合同的第二条标准验收，买方验收合格，货物入库，并不免除卖方日后经买方或第三方抽检不合格的责任。</w:t>
      </w:r>
    </w:p>
    <w:p w14:paraId="1D01DAC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Times New Roman"/>
          <w:color w:val="FF0000"/>
          <w:sz w:val="28"/>
          <w:szCs w:val="28"/>
          <w:highlight w:val="none"/>
          <w:lang w:val="en-US" w:eastAsia="zh-CN"/>
        </w:rPr>
      </w:pPr>
      <w:r>
        <w:rPr>
          <w:rFonts w:hint="eastAsia" w:ascii="仿宋" w:hAnsi="仿宋" w:eastAsia="仿宋" w:cs="仿宋"/>
          <w:b w:val="0"/>
          <w:bCs/>
          <w:kern w:val="2"/>
          <w:sz w:val="28"/>
          <w:szCs w:val="28"/>
          <w:lang w:val="en-US" w:eastAsia="zh-CN" w:bidi="ar-SA"/>
        </w:rPr>
        <w:t>2、</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lang w:eastAsia="zh-CN"/>
        </w:rPr>
        <w:t>卖方所供货物</w:t>
      </w:r>
      <w:r>
        <w:rPr>
          <w:rFonts w:hint="eastAsia" w:ascii="仿宋" w:hAnsi="仿宋" w:eastAsia="仿宋"/>
          <w:color w:val="auto"/>
          <w:sz w:val="28"/>
          <w:szCs w:val="28"/>
          <w:highlight w:val="none"/>
          <w:lang w:val="en-US" w:eastAsia="zh-CN"/>
        </w:rPr>
        <w:t>符合第二条约定的质量标准为一等品，按照合同价格结算。（2）</w:t>
      </w:r>
      <w:r>
        <w:rPr>
          <w:rFonts w:hint="eastAsia" w:ascii="仿宋" w:hAnsi="仿宋" w:eastAsia="仿宋"/>
          <w:color w:val="auto"/>
          <w:sz w:val="28"/>
          <w:szCs w:val="28"/>
          <w:highlight w:val="none"/>
          <w:lang w:eastAsia="zh-CN"/>
        </w:rPr>
        <w:t>卖方所供货物达不到</w:t>
      </w:r>
      <w:r>
        <w:rPr>
          <w:rFonts w:hint="eastAsia" w:ascii="仿宋" w:hAnsi="仿宋" w:eastAsia="仿宋"/>
          <w:color w:val="auto"/>
          <w:sz w:val="28"/>
          <w:szCs w:val="28"/>
          <w:highlight w:val="none"/>
          <w:lang w:val="en-US" w:eastAsia="zh-CN"/>
        </w:rPr>
        <w:t>质量标准但未达拒收标准为二等品</w:t>
      </w:r>
      <w:r>
        <w:rPr>
          <w:rFonts w:hint="eastAsia" w:ascii="仿宋" w:hAnsi="仿宋" w:eastAsia="仿宋"/>
          <w:color w:val="auto"/>
          <w:sz w:val="28"/>
          <w:szCs w:val="28"/>
          <w:highlight w:val="none"/>
          <w:lang w:eastAsia="zh-CN"/>
        </w:rPr>
        <w:t>，</w:t>
      </w:r>
      <w:r>
        <w:rPr>
          <w:rFonts w:hint="eastAsia" w:ascii="仿宋" w:hAnsi="仿宋" w:eastAsia="仿宋" w:cs="仿宋"/>
          <w:b w:val="0"/>
          <w:bCs/>
          <w:kern w:val="2"/>
          <w:sz w:val="28"/>
          <w:szCs w:val="28"/>
          <w:lang w:val="en-US" w:eastAsia="zh-CN" w:bidi="ar-SA"/>
        </w:rPr>
        <w:t>采取扣款</w:t>
      </w:r>
      <w:r>
        <w:rPr>
          <w:rFonts w:hint="eastAsia" w:ascii="仿宋" w:hAnsi="仿宋" w:eastAsia="仿宋"/>
          <w:color w:val="auto"/>
          <w:sz w:val="28"/>
          <w:szCs w:val="28"/>
          <w:highlight w:val="none"/>
          <w:lang w:val="en-US" w:eastAsia="zh-CN"/>
        </w:rPr>
        <w:t>措施</w:t>
      </w:r>
      <w:r>
        <w:rPr>
          <w:rFonts w:hint="eastAsia" w:ascii="仿宋" w:hAnsi="仿宋" w:eastAsia="仿宋" w:cs="仿宋"/>
          <w:b w:val="0"/>
          <w:bCs/>
          <w:kern w:val="2"/>
          <w:sz w:val="28"/>
          <w:szCs w:val="28"/>
          <w:lang w:val="en-US" w:eastAsia="zh-CN" w:bidi="ar-SA"/>
        </w:rPr>
        <w:t>：Ti每超标0.1%，单价每吨降低0.5%；B每超标 0.1%，单价每吨降低0.5%；Fe每超标 0.01%，单价每吨降低 0.5%；Si每超标 0.01%，单价每吨降低 0.5%；K每超标 0.01%，单价每吨降低 0.5%；V每超标 0.01%，单价每吨降低 0.5%；其他杂质单个每超标 0.01%，单价每吨降低 0.5%。显微组织不符合标准，单价每吨降低1%。</w:t>
      </w:r>
      <w:r>
        <w:rPr>
          <w:rFonts w:hint="eastAsia" w:ascii="仿宋" w:hAnsi="仿宋" w:eastAsia="仿宋"/>
          <w:sz w:val="28"/>
          <w:szCs w:val="28"/>
          <w:lang w:val="en-US" w:eastAsia="zh-CN"/>
        </w:rPr>
        <w:t>晶粒</w:t>
      </w:r>
      <w:r>
        <w:rPr>
          <w:rFonts w:hint="eastAsia" w:ascii="仿宋" w:hAnsi="仿宋" w:eastAsia="仿宋" w:cs="仿宋"/>
          <w:b w:val="0"/>
          <w:bCs/>
          <w:kern w:val="2"/>
          <w:sz w:val="28"/>
          <w:szCs w:val="28"/>
          <w:lang w:val="en-US" w:eastAsia="zh-CN" w:bidi="ar-SA"/>
        </w:rPr>
        <w:t>细化效果不符合标准，单价每吨降低1%。</w:t>
      </w:r>
      <w:r>
        <w:rPr>
          <w:rFonts w:hint="eastAsia" w:ascii="仿宋" w:hAnsi="仿宋" w:eastAsia="仿宋" w:cs="Times New Roman"/>
          <w:color w:val="auto"/>
          <w:sz w:val="28"/>
          <w:szCs w:val="28"/>
          <w:highlight w:val="none"/>
          <w:lang w:val="en-US" w:eastAsia="zh-CN"/>
        </w:rPr>
        <w:t>（3）</w:t>
      </w:r>
      <w:r>
        <w:rPr>
          <w:rFonts w:hint="eastAsia" w:ascii="仿宋" w:hAnsi="仿宋" w:eastAsia="仿宋"/>
          <w:color w:val="auto"/>
          <w:sz w:val="28"/>
          <w:szCs w:val="28"/>
          <w:highlight w:val="none"/>
          <w:lang w:eastAsia="zh-CN"/>
        </w:rPr>
        <w:t>卖方所供货物</w:t>
      </w:r>
      <w:r>
        <w:rPr>
          <w:rFonts w:hint="eastAsia" w:ascii="仿宋" w:hAnsi="仿宋" w:eastAsia="仿宋"/>
          <w:color w:val="auto"/>
          <w:sz w:val="28"/>
          <w:szCs w:val="28"/>
          <w:highlight w:val="none"/>
          <w:lang w:val="en-US" w:eastAsia="zh-CN"/>
        </w:rPr>
        <w:t>达到以下任一标准为不合格品，拒收或退货处理：Ti＜4.4%，B＜0.7%，Fe＞0.32%，Si＞0.22%，K＞0.12%，V＞0.12%，其他单个杂质＞0.05%；其他指标未达到国标要求的视为不合格品。</w:t>
      </w:r>
    </w:p>
    <w:p w14:paraId="5F80CEB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Times New Roman"/>
          <w:color w:val="auto"/>
          <w:sz w:val="28"/>
          <w:szCs w:val="28"/>
          <w:highlight w:val="none"/>
          <w:u w:val="single"/>
          <w:lang w:val="en-US" w:eastAsia="zh-CN"/>
        </w:rPr>
      </w:pPr>
      <w:r>
        <w:rPr>
          <w:rFonts w:hint="eastAsia" w:ascii="仿宋" w:hAnsi="仿宋" w:eastAsia="仿宋" w:cs="仿宋"/>
          <w:b w:val="0"/>
          <w:bCs/>
          <w:kern w:val="2"/>
          <w:sz w:val="28"/>
          <w:szCs w:val="28"/>
          <w:lang w:val="en-US" w:eastAsia="zh-CN" w:bidi="ar-SA"/>
        </w:rPr>
        <w:t>3、</w:t>
      </w:r>
      <w:r>
        <w:rPr>
          <w:rFonts w:hint="eastAsia" w:ascii="仿宋" w:hAnsi="仿宋" w:eastAsia="仿宋"/>
          <w:b w:val="0"/>
          <w:bCs w:val="0"/>
          <w:color w:val="auto"/>
          <w:sz w:val="28"/>
          <w:szCs w:val="28"/>
          <w:highlight w:val="none"/>
          <w:u w:val="single" w:color="FFFFFF"/>
        </w:rPr>
        <w:t>经买方质检（含外检）</w:t>
      </w:r>
      <w:r>
        <w:rPr>
          <w:rFonts w:hint="eastAsia" w:ascii="仿宋" w:hAnsi="仿宋" w:eastAsia="仿宋"/>
          <w:b w:val="0"/>
          <w:bCs w:val="0"/>
          <w:color w:val="auto"/>
          <w:sz w:val="28"/>
          <w:szCs w:val="28"/>
          <w:highlight w:val="none"/>
          <w:u w:val="single" w:color="FFFFFF"/>
          <w:lang w:val="en-US" w:eastAsia="zh-CN"/>
        </w:rPr>
        <w:t>为不合格品</w:t>
      </w:r>
      <w:r>
        <w:rPr>
          <w:rFonts w:hint="eastAsia" w:ascii="仿宋" w:hAnsi="仿宋" w:eastAsia="仿宋"/>
          <w:b w:val="0"/>
          <w:bCs w:val="0"/>
          <w:color w:val="auto"/>
          <w:sz w:val="28"/>
          <w:szCs w:val="28"/>
          <w:highlight w:val="none"/>
          <w:u w:val="single" w:color="FFFFFF"/>
          <w:lang w:eastAsia="zh-CN"/>
        </w:rPr>
        <w:t>，</w:t>
      </w:r>
      <w:r>
        <w:rPr>
          <w:rFonts w:hint="eastAsia" w:ascii="仿宋" w:hAnsi="仿宋" w:eastAsia="仿宋"/>
          <w:b w:val="0"/>
          <w:bCs w:val="0"/>
          <w:color w:val="auto"/>
          <w:sz w:val="28"/>
          <w:szCs w:val="28"/>
          <w:highlight w:val="none"/>
          <w:u w:val="single" w:color="FFFFFF"/>
        </w:rPr>
        <w:t>予以</w:t>
      </w:r>
      <w:r>
        <w:rPr>
          <w:rFonts w:hint="eastAsia" w:ascii="仿宋" w:hAnsi="仿宋" w:eastAsia="仿宋"/>
          <w:b w:val="0"/>
          <w:bCs w:val="0"/>
          <w:color w:val="auto"/>
          <w:sz w:val="28"/>
          <w:szCs w:val="28"/>
          <w:highlight w:val="none"/>
          <w:u w:val="single" w:color="FFFFFF"/>
          <w:lang w:val="en-US" w:eastAsia="zh-CN"/>
        </w:rPr>
        <w:t>拒收或</w:t>
      </w:r>
      <w:r>
        <w:rPr>
          <w:rFonts w:hint="eastAsia" w:ascii="仿宋" w:hAnsi="仿宋" w:eastAsia="仿宋"/>
          <w:b w:val="0"/>
          <w:bCs w:val="0"/>
          <w:color w:val="auto"/>
          <w:sz w:val="28"/>
          <w:szCs w:val="28"/>
          <w:highlight w:val="none"/>
          <w:u w:val="single" w:color="FFFFFF"/>
        </w:rPr>
        <w:t>退货</w:t>
      </w:r>
      <w:r>
        <w:rPr>
          <w:rFonts w:hint="eastAsia" w:ascii="仿宋" w:hAnsi="仿宋" w:eastAsia="仿宋"/>
          <w:b w:val="0"/>
          <w:bCs w:val="0"/>
          <w:color w:val="auto"/>
          <w:sz w:val="28"/>
          <w:szCs w:val="28"/>
          <w:highlight w:val="none"/>
          <w:u w:val="single" w:color="FFFFFF"/>
          <w:lang w:val="en-US" w:eastAsia="zh-CN"/>
        </w:rPr>
        <w:t>处理</w:t>
      </w:r>
      <w:r>
        <w:rPr>
          <w:rFonts w:hint="eastAsia" w:ascii="仿宋" w:hAnsi="仿宋" w:eastAsia="仿宋"/>
          <w:b w:val="0"/>
          <w:bCs w:val="0"/>
          <w:color w:val="auto"/>
          <w:sz w:val="28"/>
          <w:szCs w:val="28"/>
          <w:highlight w:val="none"/>
          <w:u w:val="single" w:color="FFFFFF"/>
        </w:rPr>
        <w:t>，费用由卖方</w:t>
      </w:r>
      <w:r>
        <w:rPr>
          <w:rFonts w:hint="eastAsia" w:ascii="仿宋" w:hAnsi="仿宋" w:eastAsia="仿宋"/>
          <w:b w:val="0"/>
          <w:bCs w:val="0"/>
          <w:color w:val="auto"/>
          <w:sz w:val="28"/>
          <w:szCs w:val="28"/>
          <w:highlight w:val="none"/>
          <w:u w:val="single" w:color="FFFFFF"/>
          <w:lang w:val="en-US" w:eastAsia="zh-CN"/>
        </w:rPr>
        <w:t>承</w:t>
      </w:r>
      <w:r>
        <w:rPr>
          <w:rFonts w:hint="eastAsia" w:ascii="仿宋" w:hAnsi="仿宋" w:eastAsia="仿宋"/>
          <w:b w:val="0"/>
          <w:bCs w:val="0"/>
          <w:color w:val="auto"/>
          <w:sz w:val="28"/>
          <w:szCs w:val="28"/>
          <w:highlight w:val="none"/>
          <w:u w:val="single" w:color="FFFFFF"/>
        </w:rPr>
        <w:t>担</w:t>
      </w:r>
      <w:r>
        <w:rPr>
          <w:rFonts w:hint="eastAsia" w:ascii="仿宋" w:hAnsi="仿宋" w:eastAsia="仿宋"/>
          <w:b w:val="0"/>
          <w:bCs w:val="0"/>
          <w:color w:val="auto"/>
          <w:sz w:val="28"/>
          <w:szCs w:val="28"/>
          <w:highlight w:val="none"/>
          <w:u w:val="single" w:color="FFFFFF"/>
          <w:lang w:eastAsia="zh-CN"/>
        </w:rPr>
        <w:t>；</w:t>
      </w:r>
      <w:r>
        <w:rPr>
          <w:rFonts w:hint="eastAsia" w:ascii="仿宋" w:hAnsi="仿宋" w:eastAsia="仿宋"/>
          <w:b w:val="0"/>
          <w:bCs w:val="0"/>
          <w:color w:val="auto"/>
          <w:sz w:val="28"/>
          <w:szCs w:val="28"/>
          <w:highlight w:val="none"/>
          <w:u w:val="single" w:color="FFFFFF"/>
        </w:rPr>
        <w:t>若</w:t>
      </w:r>
      <w:r>
        <w:rPr>
          <w:rFonts w:hint="eastAsia" w:ascii="仿宋" w:hAnsi="仿宋" w:eastAsia="仿宋"/>
          <w:b w:val="0"/>
          <w:bCs w:val="0"/>
          <w:color w:val="auto"/>
          <w:sz w:val="28"/>
          <w:szCs w:val="28"/>
          <w:highlight w:val="none"/>
          <w:u w:val="single" w:color="FFFFFF"/>
          <w:lang w:val="en-US" w:eastAsia="zh-CN"/>
        </w:rPr>
        <w:t>特殊</w:t>
      </w:r>
      <w:r>
        <w:rPr>
          <w:rFonts w:hint="eastAsia" w:ascii="仿宋" w:hAnsi="仿宋" w:eastAsia="仿宋"/>
          <w:b w:val="0"/>
          <w:bCs w:val="0"/>
          <w:color w:val="auto"/>
          <w:sz w:val="28"/>
          <w:szCs w:val="28"/>
          <w:highlight w:val="none"/>
          <w:u w:val="single" w:color="FFFFFF"/>
        </w:rPr>
        <w:t>原因无法</w:t>
      </w:r>
      <w:r>
        <w:rPr>
          <w:rFonts w:hint="eastAsia" w:ascii="仿宋" w:hAnsi="仿宋" w:eastAsia="仿宋"/>
          <w:b w:val="0"/>
          <w:bCs w:val="0"/>
          <w:color w:val="auto"/>
          <w:sz w:val="28"/>
          <w:szCs w:val="28"/>
          <w:highlight w:val="none"/>
          <w:u w:val="single" w:color="FFFFFF"/>
          <w:lang w:val="en-US" w:eastAsia="zh-CN"/>
        </w:rPr>
        <w:t>拒收或</w:t>
      </w:r>
      <w:r>
        <w:rPr>
          <w:rFonts w:hint="eastAsia" w:ascii="仿宋" w:hAnsi="仿宋" w:eastAsia="仿宋"/>
          <w:b w:val="0"/>
          <w:bCs w:val="0"/>
          <w:color w:val="auto"/>
          <w:sz w:val="28"/>
          <w:szCs w:val="28"/>
          <w:highlight w:val="none"/>
          <w:u w:val="single" w:color="FFFFFF"/>
        </w:rPr>
        <w:t>退货的，</w:t>
      </w:r>
      <w:r>
        <w:rPr>
          <w:rFonts w:hint="eastAsia" w:ascii="仿宋" w:hAnsi="仿宋" w:eastAsia="仿宋" w:cs="Times New Roman"/>
          <w:color w:val="auto"/>
          <w:sz w:val="28"/>
          <w:szCs w:val="28"/>
          <w:highlight w:val="none"/>
          <w:lang w:val="en-US" w:eastAsia="zh-CN"/>
        </w:rPr>
        <w:t>按本条第2款二等品扣款标准自动累加处理，属不合格品但未列明扣款标准的单价每吨降低1%。</w:t>
      </w:r>
    </w:p>
    <w:p w14:paraId="34FE76A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4、买方提出异议的期限为货到现场经买方</w:t>
      </w:r>
      <w:r>
        <w:rPr>
          <w:rFonts w:hint="eastAsia" w:ascii="仿宋" w:hAnsi="仿宋" w:eastAsia="仿宋" w:cs="仿宋"/>
          <w:b w:val="0"/>
          <w:bCs/>
          <w:kern w:val="2"/>
          <w:sz w:val="28"/>
          <w:szCs w:val="28"/>
          <w:highlight w:val="none"/>
          <w:lang w:val="en-US" w:eastAsia="zh-CN" w:bidi="ar-SA"/>
        </w:rPr>
        <w:t>签收之日起90日内</w:t>
      </w:r>
      <w:r>
        <w:rPr>
          <w:rFonts w:hint="eastAsia" w:ascii="仿宋" w:hAnsi="仿宋" w:eastAsia="仿宋" w:cs="仿宋"/>
          <w:b w:val="0"/>
          <w:bCs/>
          <w:kern w:val="2"/>
          <w:sz w:val="28"/>
          <w:szCs w:val="28"/>
          <w:lang w:val="en-US" w:eastAsia="zh-CN" w:bidi="ar-SA"/>
        </w:rPr>
        <w:t>，以电话、书面形式或电子邮件向卖方提出。</w:t>
      </w:r>
    </w:p>
    <w:p w14:paraId="54F4516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5、</w:t>
      </w:r>
      <w:r>
        <w:rPr>
          <w:rFonts w:hint="eastAsia" w:ascii="仿宋" w:hAnsi="仿宋" w:eastAsia="仿宋" w:cs="Arial"/>
          <w:bCs/>
          <w:color w:val="auto"/>
          <w:sz w:val="28"/>
          <w:szCs w:val="28"/>
          <w:highlight w:val="none"/>
          <w:lang w:val="en-US" w:eastAsia="zh-CN"/>
        </w:rPr>
        <w:t>如</w:t>
      </w:r>
      <w:r>
        <w:rPr>
          <w:rFonts w:hint="eastAsia" w:ascii="仿宋" w:hAnsi="仿宋" w:eastAsia="仿宋" w:cs="仿宋"/>
          <w:b w:val="0"/>
          <w:bCs/>
          <w:color w:val="auto"/>
          <w:kern w:val="2"/>
          <w:sz w:val="28"/>
          <w:szCs w:val="28"/>
          <w:lang w:val="en-US" w:eastAsia="zh-CN" w:bidi="ar-SA"/>
        </w:rPr>
        <w:t>卖方不认可买方提出的异议</w:t>
      </w:r>
      <w:r>
        <w:rPr>
          <w:rFonts w:hint="eastAsia" w:ascii="仿宋" w:hAnsi="仿宋" w:eastAsia="仿宋" w:cs="仿宋"/>
          <w:b w:val="0"/>
          <w:bCs/>
          <w:kern w:val="2"/>
          <w:sz w:val="28"/>
          <w:szCs w:val="28"/>
          <w:lang w:val="en-US" w:eastAsia="zh-CN" w:bidi="ar-SA"/>
        </w:rPr>
        <w:t>，应在接到买方通知后4小时内以书面形式或电子邮件向买方书面回复，</w:t>
      </w:r>
      <w:r>
        <w:rPr>
          <w:rFonts w:hint="eastAsia" w:ascii="仿宋" w:hAnsi="仿宋" w:eastAsia="仿宋" w:cs="Arial"/>
          <w:bCs/>
          <w:color w:val="auto"/>
          <w:sz w:val="28"/>
          <w:szCs w:val="28"/>
          <w:highlight w:val="none"/>
        </w:rPr>
        <w:t>确需复检的</w:t>
      </w:r>
      <w:r>
        <w:rPr>
          <w:rFonts w:hint="eastAsia" w:ascii="仿宋" w:hAnsi="仿宋" w:eastAsia="仿宋" w:cs="Arial"/>
          <w:bCs/>
          <w:color w:val="auto"/>
          <w:sz w:val="28"/>
          <w:szCs w:val="28"/>
          <w:highlight w:val="none"/>
          <w:lang w:val="en-US" w:eastAsia="zh-CN"/>
        </w:rPr>
        <w:t>由</w:t>
      </w:r>
      <w:r>
        <w:rPr>
          <w:rFonts w:hint="eastAsia" w:ascii="仿宋" w:hAnsi="仿宋" w:eastAsia="仿宋" w:cs="Arial"/>
          <w:bCs/>
          <w:color w:val="auto"/>
          <w:sz w:val="28"/>
          <w:szCs w:val="28"/>
          <w:highlight w:val="none"/>
        </w:rPr>
        <w:t>异议方提出申请，</w:t>
      </w:r>
      <w:r>
        <w:rPr>
          <w:rFonts w:hint="eastAsia" w:ascii="仿宋" w:hAnsi="仿宋" w:eastAsia="仿宋" w:cs="Arial"/>
          <w:bCs/>
          <w:color w:val="auto"/>
          <w:sz w:val="28"/>
          <w:szCs w:val="28"/>
          <w:highlight w:val="none"/>
          <w:lang w:val="en-US" w:eastAsia="zh-CN"/>
        </w:rPr>
        <w:t>买方内部</w:t>
      </w:r>
      <w:r>
        <w:rPr>
          <w:rFonts w:hint="eastAsia" w:ascii="仿宋" w:hAnsi="仿宋" w:eastAsia="仿宋" w:cs="Arial"/>
          <w:bCs/>
          <w:color w:val="auto"/>
          <w:sz w:val="28"/>
          <w:szCs w:val="28"/>
          <w:highlight w:val="none"/>
        </w:rPr>
        <w:t>质检机构</w:t>
      </w:r>
      <w:r>
        <w:rPr>
          <w:rFonts w:hint="eastAsia" w:ascii="仿宋" w:hAnsi="仿宋" w:eastAsia="仿宋" w:cs="Arial"/>
          <w:bCs/>
          <w:color w:val="auto"/>
          <w:sz w:val="28"/>
          <w:szCs w:val="28"/>
          <w:highlight w:val="none"/>
          <w:lang w:val="en-US" w:eastAsia="zh-CN"/>
        </w:rPr>
        <w:t>（</w:t>
      </w:r>
      <w:r>
        <w:rPr>
          <w:rFonts w:hint="eastAsia" w:ascii="仿宋" w:hAnsi="仿宋" w:eastAsia="仿宋" w:cs="Arial"/>
          <w:bCs/>
          <w:color w:val="auto"/>
          <w:sz w:val="28"/>
          <w:szCs w:val="28"/>
          <w:highlight w:val="none"/>
        </w:rPr>
        <w:t>有资质</w:t>
      </w:r>
      <w:r>
        <w:rPr>
          <w:rFonts w:hint="eastAsia" w:ascii="仿宋" w:hAnsi="仿宋" w:eastAsia="仿宋" w:cs="Arial"/>
          <w:bCs/>
          <w:color w:val="auto"/>
          <w:sz w:val="28"/>
          <w:szCs w:val="28"/>
          <w:highlight w:val="none"/>
          <w:lang w:eastAsia="zh-CN"/>
        </w:rPr>
        <w:t>）</w:t>
      </w:r>
      <w:r>
        <w:rPr>
          <w:rFonts w:hint="eastAsia" w:ascii="仿宋" w:hAnsi="仿宋" w:eastAsia="仿宋" w:cs="仿宋"/>
          <w:b w:val="0"/>
          <w:bCs/>
          <w:color w:val="auto"/>
          <w:kern w:val="2"/>
          <w:sz w:val="28"/>
          <w:szCs w:val="28"/>
          <w:lang w:val="en-US" w:eastAsia="zh-CN" w:bidi="ar-SA"/>
        </w:rPr>
        <w:t>对样品</w:t>
      </w:r>
      <w:r>
        <w:rPr>
          <w:rFonts w:hint="eastAsia" w:ascii="仿宋" w:hAnsi="仿宋" w:eastAsia="仿宋" w:cs="Arial"/>
          <w:bCs/>
          <w:color w:val="auto"/>
          <w:sz w:val="28"/>
          <w:szCs w:val="28"/>
          <w:highlight w:val="none"/>
        </w:rPr>
        <w:t>进行复检</w:t>
      </w:r>
      <w:r>
        <w:rPr>
          <w:rFonts w:hint="eastAsia" w:ascii="仿宋" w:hAnsi="仿宋" w:eastAsia="仿宋" w:cs="Arial"/>
          <w:bCs/>
          <w:color w:val="auto"/>
          <w:sz w:val="28"/>
          <w:szCs w:val="28"/>
          <w:highlight w:val="none"/>
          <w:lang w:eastAsia="zh-CN"/>
        </w:rPr>
        <w:t>，</w:t>
      </w:r>
      <w:r>
        <w:rPr>
          <w:rFonts w:hint="eastAsia" w:ascii="仿宋" w:hAnsi="仿宋" w:eastAsia="仿宋" w:cs="Arial"/>
          <w:bCs/>
          <w:color w:val="auto"/>
          <w:sz w:val="28"/>
          <w:szCs w:val="28"/>
          <w:highlight w:val="none"/>
          <w:lang w:val="en-US" w:eastAsia="zh-CN"/>
        </w:rPr>
        <w:t>并以买方最终复检结果为准，但所供同类物资当月或三个月内连续三批以上不达标的（以时间先到者为准），不再安排复检。</w:t>
      </w:r>
      <w:r>
        <w:rPr>
          <w:rFonts w:hint="eastAsia" w:ascii="仿宋" w:hAnsi="仿宋" w:eastAsia="仿宋" w:cs="仿宋"/>
          <w:b w:val="0"/>
          <w:bCs/>
          <w:kern w:val="2"/>
          <w:sz w:val="28"/>
          <w:szCs w:val="28"/>
          <w:lang w:val="en-US" w:eastAsia="zh-CN" w:bidi="ar-SA"/>
        </w:rPr>
        <w:t>针对异议期内买方提出的异议，卖方无回复或怠于处理的，视同该批次（即当日所有车次）属不合格产品，按上述第2、3款处理。</w:t>
      </w:r>
    </w:p>
    <w:p w14:paraId="1599AD48">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6、样品由买方人员与卖方人员（或者默认卖方委托随车运输司机）共同到现场抽取，取样后双方人员当场签字确认，确认单随同样品保存，备样保存周期3个月。若卖方人员不能及时到场且不委托随车司机到场的，视为放弃权利，并不得以未到场为由，否认化验结果及取样合理性。</w:t>
      </w:r>
    </w:p>
    <w:p w14:paraId="4A6F2408">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第六条、计量方式</w:t>
      </w:r>
    </w:p>
    <w:p w14:paraId="1D52A74C">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val="0"/>
          <w:bCs/>
          <w:kern w:val="2"/>
          <w:sz w:val="28"/>
          <w:szCs w:val="28"/>
          <w:lang w:val="en-US" w:eastAsia="zh-CN" w:bidi="ar-SA"/>
        </w:rPr>
        <w:t>所用计量器具必须经过有资质的计量技术机构检定合格，并在有效期内。单次误差在±**‰的磅差为合理误差，在合理磅差范围内，以买方实际过磅数量为准（附原始磅单或发货单，包装物不计量、不回收），超出合理磅差部分，由卖方承担。</w:t>
      </w:r>
    </w:p>
    <w:p w14:paraId="76D0A27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第七条、</w:t>
      </w:r>
      <w:r>
        <w:rPr>
          <w:rFonts w:hint="eastAsia" w:ascii="仿宋" w:hAnsi="仿宋" w:eastAsia="仿宋" w:cs="Arial"/>
          <w:b/>
          <w:bCs/>
          <w:sz w:val="28"/>
          <w:szCs w:val="28"/>
        </w:rPr>
        <w:t>付款与</w:t>
      </w:r>
      <w:r>
        <w:rPr>
          <w:rFonts w:hint="eastAsia" w:ascii="仿宋" w:hAnsi="仿宋" w:eastAsia="仿宋" w:cs="仿宋"/>
          <w:b/>
          <w:bCs w:val="0"/>
          <w:kern w:val="2"/>
          <w:sz w:val="28"/>
          <w:szCs w:val="28"/>
          <w:lang w:val="en-US" w:eastAsia="zh-CN" w:bidi="ar-SA"/>
        </w:rPr>
        <w:t>结算方式：</w:t>
      </w:r>
    </w:p>
    <w:p w14:paraId="5FF222E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1、本合同价格确定后无论任何情况均不予调整。</w:t>
      </w:r>
    </w:p>
    <w:p w14:paraId="4DD3D99C">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2、当月计价标准以买方实际验收数量为准（含质量异议数量）。</w:t>
      </w:r>
    </w:p>
    <w:p w14:paraId="5E7A4A9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先货后款，一票制结算,以银行承兑方式支付。卖方所供货物质检合格，根据双方确认的结算数量及价格在当月月底前向买方开具（税率为**%）符合税法要求的增值税专用发票，买方在收到发票并验收入账后***个工作日内付款。</w:t>
      </w:r>
      <w:r>
        <w:rPr>
          <w:rFonts w:hint="eastAsia" w:ascii="仿宋" w:hAnsi="仿宋" w:eastAsia="仿宋" w:cs="Times New Roman"/>
          <w:color w:val="0000FF"/>
          <w:sz w:val="28"/>
          <w:szCs w:val="28"/>
          <w:highlight w:val="none"/>
          <w:lang w:val="en-US" w:eastAsia="zh-CN"/>
        </w:rPr>
        <w:t>（此条款可根据结算方式区别制定，但应注明先款后货还是先货后款、发票、支付类型等）</w:t>
      </w:r>
    </w:p>
    <w:p w14:paraId="255B88F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4、如因卖方提供发票不合规导致买方补缴税款、滞纳金、罚款等其他相关损失的，</w:t>
      </w:r>
      <w:r>
        <w:rPr>
          <w:rFonts w:hint="default" w:ascii="仿宋" w:hAnsi="仿宋" w:eastAsia="仿宋" w:cs="仿宋"/>
          <w:sz w:val="28"/>
          <w:szCs w:val="28"/>
          <w:lang w:val="en-US" w:eastAsia="zh-CN"/>
        </w:rPr>
        <w:t>卖方应向买方支付合同总额</w:t>
      </w:r>
      <w:r>
        <w:rPr>
          <w:rFonts w:hint="eastAsia" w:ascii="仿宋" w:hAnsi="仿宋" w:eastAsia="仿宋" w:cs="仿宋"/>
          <w:sz w:val="28"/>
          <w:szCs w:val="28"/>
          <w:lang w:val="en-US" w:eastAsia="zh-CN"/>
        </w:rPr>
        <w:t>30</w:t>
      </w:r>
      <w:r>
        <w:rPr>
          <w:rFonts w:hint="default" w:ascii="仿宋" w:hAnsi="仿宋" w:eastAsia="仿宋" w:cs="仿宋"/>
          <w:sz w:val="28"/>
          <w:szCs w:val="28"/>
          <w:lang w:val="en-US" w:eastAsia="zh-CN"/>
        </w:rPr>
        <w:t>%的违约金，违约金不足以弥补买方损失的，卖方应赔偿买方实际损失。</w:t>
      </w:r>
    </w:p>
    <w:p w14:paraId="0CF5C5E5">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5、</w:t>
      </w:r>
      <w:r>
        <w:rPr>
          <w:rFonts w:hint="eastAsia" w:ascii="仿宋" w:hAnsi="仿宋" w:eastAsia="仿宋" w:cs="Arial"/>
          <w:bCs/>
          <w:color w:val="000000"/>
          <w:sz w:val="28"/>
          <w:szCs w:val="28"/>
          <w:lang w:val="en-US" w:eastAsia="zh-CN"/>
        </w:rPr>
        <w:t>卖方因本合同产生的违约金及损失赔偿金买方有权从应付款中直接扣除。</w:t>
      </w:r>
    </w:p>
    <w:p w14:paraId="14CC6254">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第八条、 权利瑕疵担保</w:t>
      </w:r>
    </w:p>
    <w:p w14:paraId="1750C0AC">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1、卖方须保证享有本协议项下的货物所有权，任何第三方不会对该货物提出任何权利要求。</w:t>
      </w:r>
    </w:p>
    <w:p w14:paraId="12C7DBD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2、卖</w:t>
      </w:r>
      <w:r>
        <w:rPr>
          <w:rFonts w:hint="default" w:ascii="仿宋" w:hAnsi="仿宋" w:eastAsia="仿宋" w:cs="仿宋"/>
          <w:b w:val="0"/>
          <w:bCs/>
          <w:kern w:val="2"/>
          <w:sz w:val="28"/>
          <w:szCs w:val="28"/>
          <w:lang w:val="en-US" w:eastAsia="zh-CN" w:bidi="ar-SA"/>
        </w:rPr>
        <w:t>方保证</w:t>
      </w:r>
      <w:r>
        <w:rPr>
          <w:rFonts w:hint="eastAsia" w:ascii="仿宋" w:hAnsi="仿宋" w:eastAsia="仿宋" w:cs="仿宋"/>
          <w:b w:val="0"/>
          <w:bCs/>
          <w:kern w:val="2"/>
          <w:sz w:val="28"/>
          <w:szCs w:val="28"/>
          <w:lang w:val="en-US" w:eastAsia="zh-CN" w:bidi="ar-SA"/>
        </w:rPr>
        <w:t>买</w:t>
      </w:r>
      <w:r>
        <w:rPr>
          <w:rFonts w:hint="default" w:ascii="仿宋" w:hAnsi="仿宋" w:eastAsia="仿宋" w:cs="仿宋"/>
          <w:b w:val="0"/>
          <w:bCs/>
          <w:kern w:val="2"/>
          <w:sz w:val="28"/>
          <w:szCs w:val="28"/>
          <w:lang w:val="en-US" w:eastAsia="zh-CN" w:bidi="ar-SA"/>
        </w:rPr>
        <w:t>方不因使用</w:t>
      </w:r>
      <w:r>
        <w:rPr>
          <w:rFonts w:hint="eastAsia" w:ascii="仿宋" w:hAnsi="仿宋" w:eastAsia="仿宋" w:cs="仿宋"/>
          <w:b w:val="0"/>
          <w:bCs/>
          <w:kern w:val="2"/>
          <w:sz w:val="28"/>
          <w:szCs w:val="28"/>
          <w:lang w:val="en-US" w:eastAsia="zh-CN" w:bidi="ar-SA"/>
        </w:rPr>
        <w:t>卖方</w:t>
      </w:r>
      <w:r>
        <w:rPr>
          <w:rFonts w:hint="default" w:ascii="仿宋" w:hAnsi="仿宋" w:eastAsia="仿宋" w:cs="仿宋"/>
          <w:b w:val="0"/>
          <w:bCs/>
          <w:kern w:val="2"/>
          <w:sz w:val="28"/>
          <w:szCs w:val="28"/>
          <w:lang w:val="en-US" w:eastAsia="zh-CN" w:bidi="ar-SA"/>
        </w:rPr>
        <w:t>提供的采购物资（包括技术）而引起的对任何第三方的设计、工艺方案、技术资料、商标、专利等知识产权产生侵权</w:t>
      </w:r>
      <w:r>
        <w:rPr>
          <w:rFonts w:hint="eastAsia" w:ascii="仿宋" w:hAnsi="仿宋" w:eastAsia="仿宋" w:cs="仿宋"/>
          <w:b w:val="0"/>
          <w:bCs/>
          <w:kern w:val="2"/>
          <w:sz w:val="28"/>
          <w:szCs w:val="28"/>
          <w:lang w:val="en-US" w:eastAsia="zh-CN" w:bidi="ar-SA"/>
        </w:rPr>
        <w:t>的问题</w:t>
      </w:r>
      <w:r>
        <w:rPr>
          <w:rFonts w:hint="default" w:ascii="仿宋" w:hAnsi="仿宋" w:eastAsia="仿宋" w:cs="仿宋"/>
          <w:b w:val="0"/>
          <w:bCs/>
          <w:kern w:val="2"/>
          <w:sz w:val="28"/>
          <w:szCs w:val="28"/>
          <w:lang w:val="en-US" w:eastAsia="zh-CN" w:bidi="ar-SA"/>
        </w:rPr>
        <w:t>。</w:t>
      </w:r>
    </w:p>
    <w:p w14:paraId="3C10E018">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第九条、违约责任</w:t>
      </w:r>
    </w:p>
    <w:p w14:paraId="690F5A71">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rPr>
        <w:t>1、卖方每延期一天交付货物应向买方支付合同总价的</w:t>
      </w:r>
      <w:r>
        <w:rPr>
          <w:rFonts w:hint="eastAsia" w:ascii="仿宋" w:hAnsi="仿宋" w:eastAsia="仿宋" w:cs="仿宋"/>
          <w:color w:val="auto"/>
          <w:spacing w:val="2"/>
          <w:sz w:val="28"/>
          <w:szCs w:val="28"/>
          <w:lang w:val="en-US" w:eastAsia="zh-CN"/>
        </w:rPr>
        <w:t>0.5</w:t>
      </w:r>
      <w:r>
        <w:rPr>
          <w:rFonts w:hint="eastAsia" w:ascii="仿宋" w:hAnsi="仿宋" w:eastAsia="仿宋" w:cs="仿宋"/>
          <w:color w:val="auto"/>
          <w:spacing w:val="2"/>
          <w:sz w:val="28"/>
          <w:szCs w:val="28"/>
        </w:rPr>
        <w:t>%作为违约金，延期超过7天买方可单方解除合同</w:t>
      </w:r>
      <w:r>
        <w:rPr>
          <w:rFonts w:hint="eastAsia" w:ascii="仿宋" w:hAnsi="仿宋" w:eastAsia="仿宋" w:cs="仿宋"/>
          <w:color w:val="auto"/>
          <w:spacing w:val="2"/>
          <w:sz w:val="28"/>
          <w:szCs w:val="28"/>
          <w:lang w:eastAsia="zh-CN"/>
        </w:rPr>
        <w:t>。</w:t>
      </w:r>
    </w:p>
    <w:p w14:paraId="2CD8F4B5">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2、因买方原因导致未能在规定的期限内付清货款，逾期后双方应先协商解决，如协商未果，经诉讼程序解决的，买方应当依据合同订立时1年期贷款市场报价利率向卖方支付逾期付款利息。</w:t>
      </w:r>
    </w:p>
    <w:p w14:paraId="1C88291C">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3、因卖方违约原因买方暂停支付货款的，买方不承担任何逾期付款责任。</w:t>
      </w:r>
    </w:p>
    <w:p w14:paraId="59C9411E">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4、若卖方所供货物价格高于同期市场价格或卖方同行价格或买方同行业采购价格20%以上，且卖方无法做出合理解释的，卖方应向买方支付违约金，违约金为差价2倍和合同总额10%的数额之和。</w:t>
      </w:r>
    </w:p>
    <w:p w14:paraId="24932DDD">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default"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5、</w:t>
      </w:r>
      <w:r>
        <w:rPr>
          <w:rFonts w:hint="default" w:ascii="仿宋" w:hAnsi="仿宋" w:eastAsia="仿宋" w:cs="仿宋"/>
          <w:color w:val="auto"/>
          <w:spacing w:val="2"/>
          <w:sz w:val="28"/>
          <w:szCs w:val="28"/>
          <w:lang w:val="en-US" w:eastAsia="zh-CN"/>
        </w:rPr>
        <w:t>未经</w:t>
      </w:r>
      <w:r>
        <w:rPr>
          <w:rFonts w:hint="eastAsia" w:ascii="仿宋" w:hAnsi="仿宋" w:eastAsia="仿宋" w:cs="仿宋"/>
          <w:color w:val="auto"/>
          <w:spacing w:val="2"/>
          <w:sz w:val="28"/>
          <w:szCs w:val="28"/>
          <w:lang w:val="en-US" w:eastAsia="zh-CN"/>
        </w:rPr>
        <w:t>买方</w:t>
      </w:r>
      <w:r>
        <w:rPr>
          <w:rFonts w:hint="default" w:ascii="仿宋" w:hAnsi="仿宋" w:eastAsia="仿宋" w:cs="仿宋"/>
          <w:color w:val="auto"/>
          <w:spacing w:val="2"/>
          <w:sz w:val="28"/>
          <w:szCs w:val="28"/>
          <w:lang w:val="en-US" w:eastAsia="zh-CN"/>
        </w:rPr>
        <w:t>书面同意，</w:t>
      </w:r>
      <w:r>
        <w:rPr>
          <w:rFonts w:hint="eastAsia" w:ascii="仿宋" w:hAnsi="仿宋" w:eastAsia="仿宋" w:cs="仿宋"/>
          <w:color w:val="auto"/>
          <w:spacing w:val="2"/>
          <w:sz w:val="28"/>
          <w:szCs w:val="28"/>
          <w:lang w:val="en-US" w:eastAsia="zh-CN"/>
        </w:rPr>
        <w:t>卖方</w:t>
      </w:r>
      <w:r>
        <w:rPr>
          <w:rFonts w:hint="default" w:ascii="仿宋" w:hAnsi="仿宋" w:eastAsia="仿宋" w:cs="仿宋"/>
          <w:color w:val="auto"/>
          <w:spacing w:val="2"/>
          <w:sz w:val="28"/>
          <w:szCs w:val="28"/>
          <w:lang w:val="en-US" w:eastAsia="zh-CN"/>
        </w:rPr>
        <w:t>不得将本合同</w:t>
      </w:r>
      <w:r>
        <w:rPr>
          <w:rFonts w:hint="eastAsia" w:ascii="仿宋" w:hAnsi="仿宋" w:eastAsia="仿宋" w:cs="仿宋"/>
          <w:color w:val="auto"/>
          <w:spacing w:val="2"/>
          <w:sz w:val="28"/>
          <w:szCs w:val="28"/>
          <w:lang w:val="en-US" w:eastAsia="zh-CN"/>
        </w:rPr>
        <w:t>权利义务</w:t>
      </w:r>
      <w:r>
        <w:rPr>
          <w:rFonts w:hint="default" w:ascii="仿宋" w:hAnsi="仿宋" w:eastAsia="仿宋" w:cs="仿宋"/>
          <w:color w:val="auto"/>
          <w:spacing w:val="2"/>
          <w:sz w:val="28"/>
          <w:szCs w:val="28"/>
          <w:lang w:val="en-US" w:eastAsia="zh-CN"/>
        </w:rPr>
        <w:t>转让给任何第三方，</w:t>
      </w:r>
      <w:r>
        <w:rPr>
          <w:rFonts w:hint="eastAsia" w:ascii="仿宋" w:hAnsi="仿宋" w:eastAsia="仿宋" w:cs="仿宋"/>
          <w:color w:val="auto"/>
          <w:spacing w:val="2"/>
          <w:sz w:val="28"/>
          <w:szCs w:val="28"/>
          <w:lang w:val="en-US" w:eastAsia="zh-CN"/>
        </w:rPr>
        <w:t>卖方</w:t>
      </w:r>
      <w:r>
        <w:rPr>
          <w:rFonts w:hint="default" w:ascii="仿宋" w:hAnsi="仿宋" w:eastAsia="仿宋" w:cs="仿宋"/>
          <w:color w:val="auto"/>
          <w:spacing w:val="2"/>
          <w:sz w:val="28"/>
          <w:szCs w:val="28"/>
          <w:lang w:val="en-US" w:eastAsia="zh-CN"/>
        </w:rPr>
        <w:t>违反本条约定擅自转让的，</w:t>
      </w:r>
      <w:r>
        <w:rPr>
          <w:rFonts w:hint="eastAsia" w:ascii="仿宋" w:hAnsi="仿宋" w:eastAsia="仿宋" w:cs="仿宋"/>
          <w:color w:val="auto"/>
          <w:spacing w:val="2"/>
          <w:sz w:val="28"/>
          <w:szCs w:val="28"/>
          <w:lang w:val="en-US" w:eastAsia="zh-CN"/>
        </w:rPr>
        <w:t>卖方</w:t>
      </w:r>
      <w:r>
        <w:rPr>
          <w:rFonts w:hint="default" w:ascii="仿宋" w:hAnsi="仿宋" w:eastAsia="仿宋" w:cs="仿宋"/>
          <w:color w:val="auto"/>
          <w:spacing w:val="2"/>
          <w:sz w:val="28"/>
          <w:szCs w:val="28"/>
          <w:lang w:val="en-US" w:eastAsia="zh-CN"/>
        </w:rPr>
        <w:t>应按双方最终结算价款总额的 </w:t>
      </w:r>
      <w:r>
        <w:rPr>
          <w:rFonts w:hint="eastAsia" w:ascii="仿宋" w:hAnsi="仿宋" w:eastAsia="仿宋" w:cs="仿宋"/>
          <w:color w:val="auto"/>
          <w:spacing w:val="2"/>
          <w:sz w:val="28"/>
          <w:szCs w:val="28"/>
          <w:lang w:val="en-US" w:eastAsia="zh-CN"/>
        </w:rPr>
        <w:t>30%</w:t>
      </w:r>
      <w:r>
        <w:rPr>
          <w:rFonts w:hint="default" w:ascii="仿宋" w:hAnsi="仿宋" w:eastAsia="仿宋" w:cs="仿宋"/>
          <w:color w:val="auto"/>
          <w:spacing w:val="2"/>
          <w:sz w:val="28"/>
          <w:szCs w:val="28"/>
          <w:lang w:val="en-US" w:eastAsia="zh-CN"/>
        </w:rPr>
        <w:t>向</w:t>
      </w:r>
      <w:r>
        <w:rPr>
          <w:rFonts w:hint="eastAsia" w:ascii="仿宋" w:hAnsi="仿宋" w:eastAsia="仿宋" w:cs="仿宋"/>
          <w:color w:val="auto"/>
          <w:spacing w:val="2"/>
          <w:sz w:val="28"/>
          <w:szCs w:val="28"/>
          <w:lang w:val="en-US" w:eastAsia="zh-CN"/>
        </w:rPr>
        <w:t>买方</w:t>
      </w:r>
      <w:r>
        <w:rPr>
          <w:rFonts w:hint="default" w:ascii="仿宋" w:hAnsi="仿宋" w:eastAsia="仿宋" w:cs="仿宋"/>
          <w:color w:val="auto"/>
          <w:spacing w:val="2"/>
          <w:sz w:val="28"/>
          <w:szCs w:val="28"/>
          <w:lang w:val="en-US" w:eastAsia="zh-CN"/>
        </w:rPr>
        <w:t>支付违约金。</w:t>
      </w:r>
    </w:p>
    <w:p w14:paraId="73B1274F">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6、</w:t>
      </w:r>
      <w:r>
        <w:rPr>
          <w:rFonts w:hint="default" w:ascii="仿宋" w:hAnsi="仿宋" w:eastAsia="仿宋" w:cs="仿宋"/>
          <w:color w:val="auto"/>
          <w:spacing w:val="2"/>
          <w:sz w:val="28"/>
          <w:szCs w:val="28"/>
          <w:lang w:val="en-US" w:eastAsia="zh-CN"/>
        </w:rPr>
        <w:t>如果</w:t>
      </w:r>
      <w:r>
        <w:rPr>
          <w:rFonts w:hint="eastAsia" w:ascii="仿宋" w:hAnsi="仿宋" w:eastAsia="仿宋" w:cs="仿宋"/>
          <w:color w:val="auto"/>
          <w:spacing w:val="2"/>
          <w:sz w:val="28"/>
          <w:szCs w:val="28"/>
          <w:lang w:val="en-US" w:eastAsia="zh-CN"/>
        </w:rPr>
        <w:t>买</w:t>
      </w:r>
      <w:r>
        <w:rPr>
          <w:rFonts w:hint="default" w:ascii="仿宋" w:hAnsi="仿宋" w:eastAsia="仿宋" w:cs="仿宋"/>
          <w:color w:val="auto"/>
          <w:spacing w:val="2"/>
          <w:sz w:val="28"/>
          <w:szCs w:val="28"/>
          <w:lang w:val="en-US" w:eastAsia="zh-CN"/>
        </w:rPr>
        <w:t>方受到任何第三方的侵权指控，由</w:t>
      </w:r>
      <w:r>
        <w:rPr>
          <w:rFonts w:hint="eastAsia" w:ascii="仿宋" w:hAnsi="仿宋" w:eastAsia="仿宋" w:cs="仿宋"/>
          <w:color w:val="auto"/>
          <w:spacing w:val="2"/>
          <w:sz w:val="28"/>
          <w:szCs w:val="28"/>
          <w:lang w:val="en-US" w:eastAsia="zh-CN"/>
        </w:rPr>
        <w:t>卖</w:t>
      </w:r>
      <w:r>
        <w:rPr>
          <w:rFonts w:hint="default" w:ascii="仿宋" w:hAnsi="仿宋" w:eastAsia="仿宋" w:cs="仿宋"/>
          <w:color w:val="auto"/>
          <w:spacing w:val="2"/>
          <w:sz w:val="28"/>
          <w:szCs w:val="28"/>
          <w:lang w:val="en-US" w:eastAsia="zh-CN"/>
        </w:rPr>
        <w:t>方负责与第三方交涉处理，并承担一切由此引起的法律上和经济上的责任，从而使</w:t>
      </w:r>
      <w:r>
        <w:rPr>
          <w:rFonts w:hint="eastAsia" w:ascii="仿宋" w:hAnsi="仿宋" w:eastAsia="仿宋" w:cs="仿宋"/>
          <w:color w:val="auto"/>
          <w:spacing w:val="2"/>
          <w:sz w:val="28"/>
          <w:szCs w:val="28"/>
          <w:lang w:val="en-US" w:eastAsia="zh-CN"/>
        </w:rPr>
        <w:t>买</w:t>
      </w:r>
      <w:r>
        <w:rPr>
          <w:rFonts w:hint="default" w:ascii="仿宋" w:hAnsi="仿宋" w:eastAsia="仿宋" w:cs="仿宋"/>
          <w:color w:val="auto"/>
          <w:spacing w:val="2"/>
          <w:sz w:val="28"/>
          <w:szCs w:val="28"/>
          <w:lang w:val="en-US" w:eastAsia="zh-CN"/>
        </w:rPr>
        <w:t>方免受由于第三方索赔从法律及经济责任上所造成的损害，如因此造成</w:t>
      </w:r>
      <w:r>
        <w:rPr>
          <w:rFonts w:hint="eastAsia" w:ascii="仿宋" w:hAnsi="仿宋" w:eastAsia="仿宋" w:cs="仿宋"/>
          <w:color w:val="auto"/>
          <w:spacing w:val="2"/>
          <w:sz w:val="28"/>
          <w:szCs w:val="28"/>
          <w:lang w:val="en-US" w:eastAsia="zh-CN"/>
        </w:rPr>
        <w:t>买</w:t>
      </w:r>
      <w:r>
        <w:rPr>
          <w:rFonts w:hint="default" w:ascii="仿宋" w:hAnsi="仿宋" w:eastAsia="仿宋" w:cs="仿宋"/>
          <w:color w:val="auto"/>
          <w:spacing w:val="2"/>
          <w:sz w:val="28"/>
          <w:szCs w:val="28"/>
          <w:lang w:val="en-US" w:eastAsia="zh-CN"/>
        </w:rPr>
        <w:t>方直接与间接损失的，由</w:t>
      </w:r>
      <w:r>
        <w:rPr>
          <w:rFonts w:hint="eastAsia" w:ascii="仿宋" w:hAnsi="仿宋" w:eastAsia="仿宋" w:cs="仿宋"/>
          <w:color w:val="auto"/>
          <w:spacing w:val="2"/>
          <w:sz w:val="28"/>
          <w:szCs w:val="28"/>
          <w:lang w:val="en-US" w:eastAsia="zh-CN"/>
        </w:rPr>
        <w:t>卖</w:t>
      </w:r>
      <w:r>
        <w:rPr>
          <w:rFonts w:hint="default" w:ascii="仿宋" w:hAnsi="仿宋" w:eastAsia="仿宋" w:cs="仿宋"/>
          <w:color w:val="auto"/>
          <w:spacing w:val="2"/>
          <w:sz w:val="28"/>
          <w:szCs w:val="28"/>
          <w:lang w:val="en-US" w:eastAsia="zh-CN"/>
        </w:rPr>
        <w:t>方承担全部赔偿责任。</w:t>
      </w:r>
    </w:p>
    <w:p w14:paraId="6971970F">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7、卖方所供货物最终重量不得超过合同</w:t>
      </w:r>
      <w:r>
        <w:rPr>
          <w:rFonts w:hint="eastAsia" w:ascii="仿宋" w:hAnsi="仿宋" w:eastAsia="仿宋" w:cs="仿宋"/>
          <w:color w:val="auto"/>
          <w:spacing w:val="2"/>
          <w:sz w:val="28"/>
          <w:szCs w:val="28"/>
          <w:highlight w:val="none"/>
          <w:lang w:val="en-US" w:eastAsia="zh-CN"/>
        </w:rPr>
        <w:t>总量的10%。</w:t>
      </w:r>
    </w:p>
    <w:p w14:paraId="0BCE5A1B">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8、若卖方采取不恰当的异议处理方式，并给买方生产经营或信誉造成负面影响，买方有权终止其所有关联公司的业务合作。</w:t>
      </w:r>
    </w:p>
    <w:p w14:paraId="4029D838">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default"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9、</w:t>
      </w:r>
      <w:r>
        <w:rPr>
          <w:rFonts w:hint="default" w:ascii="仿宋" w:hAnsi="仿宋" w:eastAsia="仿宋" w:cs="仿宋"/>
          <w:sz w:val="28"/>
          <w:szCs w:val="28"/>
          <w:lang w:val="en-US" w:eastAsia="zh-CN"/>
        </w:rPr>
        <w:t>卖方出现包括但不限于上述违约行为的，买方有权解除合同。买方解除合同的，卖方除应按本合同约定的条款支付违约金，还应向买方支付合同总额30%的违约金，违约金不足以弥补买方损失的，卖方应赔偿买方实际损失</w:t>
      </w:r>
      <w:bookmarkStart w:id="2" w:name="_GoBack"/>
      <w:bookmarkEnd w:id="2"/>
      <w:r>
        <w:rPr>
          <w:rFonts w:hint="eastAsia" w:ascii="仿宋" w:hAnsi="仿宋" w:eastAsia="仿宋" w:cs="仿宋"/>
          <w:color w:val="auto"/>
          <w:spacing w:val="2"/>
          <w:sz w:val="28"/>
          <w:szCs w:val="28"/>
          <w:lang w:val="en-US" w:eastAsia="zh-CN"/>
        </w:rPr>
        <w:t>。</w:t>
      </w:r>
    </w:p>
    <w:p w14:paraId="4DB0EBF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第十条、通知与送达</w:t>
      </w:r>
    </w:p>
    <w:p w14:paraId="77293FD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买卖双方认同在本合同中留存的联系方式为有效联系方式，一方变更联系方式、地址或联系人的，应当在变更前3日内书面通知对方，否则以原地址或联系人为准。对方当事人实际收到变更通知前的送达仍为有效送达，电子送达与书面送达具有同等法律效力。</w:t>
      </w:r>
    </w:p>
    <w:p w14:paraId="5C8B004E">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一方向另一方送达文件，以被送达方的签收日期作为送达日期。通过快递方式送达的，以快递签收日期为送达日期，被送达方拒收、退回或无法送达的，自交邮后第5日视为已经送达。电子邮件方式送达的，以邮件发出之日作为送达之日。</w:t>
      </w:r>
    </w:p>
    <w:p w14:paraId="1A748A32">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3、卖方的开户银行、账户名称、银行账号以本合同提供的为准。通知地址的适用范围包括各方发生纠纷进入诉讼、仲裁程序时法律文书及其他相关文件的送达。</w:t>
      </w:r>
    </w:p>
    <w:p w14:paraId="1C9BBF8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第十一条、不可抗力</w:t>
      </w:r>
    </w:p>
    <w:p w14:paraId="62B41FBE">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w:t>
      </w:r>
      <w:r>
        <w:rPr>
          <w:rFonts w:hint="eastAsia" w:ascii="仿宋" w:hAnsi="仿宋" w:eastAsia="仿宋" w:cs="仿宋"/>
          <w:sz w:val="28"/>
          <w:szCs w:val="28"/>
          <w:highlight w:val="none"/>
        </w:rPr>
        <w:t>不可抗力指签署本合同时各方不能预见、不能避免、不能克服且导致本合同全部或者部分不能履行或者不能按时履行的客观情况，包括但不限于政府行为、国家政策（危化品运输限制）、大雪、疫情、自然灾害、火灾、爆炸、台风、洪水、地震、海啸、雷电或战争、环保检查等突发情况。任何信用、资本或资金短缺不应当视为本合同项下不可抗力事件的范围</w:t>
      </w:r>
      <w:r>
        <w:rPr>
          <w:rFonts w:hint="eastAsia" w:ascii="仿宋" w:hAnsi="仿宋" w:eastAsia="仿宋" w:cs="仿宋"/>
          <w:b w:val="0"/>
          <w:bCs/>
          <w:kern w:val="2"/>
          <w:sz w:val="28"/>
          <w:szCs w:val="28"/>
          <w:lang w:val="en-US" w:eastAsia="zh-CN" w:bidi="ar-SA"/>
        </w:rPr>
        <w:t>。</w:t>
      </w:r>
    </w:p>
    <w:p w14:paraId="26A525D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2、因不可抗力不能履行或不能完全履行</w:t>
      </w:r>
      <w:r>
        <w:rPr>
          <w:rFonts w:hint="default" w:ascii="仿宋" w:hAnsi="仿宋" w:eastAsia="仿宋" w:cs="仿宋"/>
          <w:b w:val="0"/>
          <w:bCs/>
          <w:kern w:val="2"/>
          <w:sz w:val="28"/>
          <w:szCs w:val="28"/>
          <w:lang w:val="en-US" w:eastAsia="zh-CN" w:bidi="ar-SA"/>
        </w:rPr>
        <w:t>合同一方应将此类事件的发生通知合同另一方，并应在不可抗力事件发生后</w:t>
      </w:r>
      <w:r>
        <w:rPr>
          <w:rFonts w:hint="eastAsia" w:ascii="仿宋" w:hAnsi="仿宋" w:eastAsia="仿宋" w:cs="仿宋"/>
          <w:b w:val="0"/>
          <w:bCs/>
          <w:kern w:val="2"/>
          <w:sz w:val="28"/>
          <w:szCs w:val="28"/>
          <w:lang w:val="en-US" w:eastAsia="zh-CN" w:bidi="ar-SA"/>
        </w:rPr>
        <w:t>十</w:t>
      </w:r>
      <w:r>
        <w:rPr>
          <w:rFonts w:hint="default" w:ascii="仿宋" w:hAnsi="仿宋" w:eastAsia="仿宋" w:cs="仿宋"/>
          <w:b w:val="0"/>
          <w:bCs/>
          <w:kern w:val="2"/>
          <w:sz w:val="28"/>
          <w:szCs w:val="28"/>
          <w:lang w:val="en-US" w:eastAsia="zh-CN" w:bidi="ar-SA"/>
        </w:rPr>
        <w:t>日内将</w:t>
      </w:r>
      <w:r>
        <w:rPr>
          <w:rFonts w:hint="eastAsia" w:ascii="仿宋" w:hAnsi="仿宋" w:eastAsia="仿宋" w:cs="仿宋"/>
          <w:b w:val="0"/>
          <w:bCs/>
          <w:kern w:val="2"/>
          <w:sz w:val="28"/>
          <w:szCs w:val="28"/>
          <w:lang w:val="en-US" w:eastAsia="zh-CN" w:bidi="ar-SA"/>
        </w:rPr>
        <w:t>官方</w:t>
      </w:r>
      <w:r>
        <w:rPr>
          <w:rFonts w:hint="default" w:ascii="仿宋" w:hAnsi="仿宋" w:eastAsia="仿宋" w:cs="仿宋"/>
          <w:b w:val="0"/>
          <w:bCs/>
          <w:kern w:val="2"/>
          <w:sz w:val="28"/>
          <w:szCs w:val="28"/>
          <w:lang w:val="en-US" w:eastAsia="zh-CN" w:bidi="ar-SA"/>
        </w:rPr>
        <w:t>或机构出具的证明文件提交给合同另一方。</w:t>
      </w:r>
    </w:p>
    <w:p w14:paraId="5D8DF33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w:t>
      </w:r>
      <w:r>
        <w:rPr>
          <w:rFonts w:hint="default" w:ascii="仿宋" w:hAnsi="仿宋" w:eastAsia="仿宋" w:cs="仿宋"/>
          <w:b w:val="0"/>
          <w:bCs/>
          <w:kern w:val="2"/>
          <w:sz w:val="28"/>
          <w:szCs w:val="28"/>
          <w:lang w:val="en-US" w:eastAsia="zh-CN" w:bidi="ar-SA"/>
        </w:rPr>
        <w:t>受不可抗力事件影响的合同一方对于不可抗力事件导致的任何合同义务的迟延履行或不能履行不承担责任。但该合同方应尽快将不可抗力事件结束或其影响消除的情况通知合同另一方。</w:t>
      </w:r>
    </w:p>
    <w:p w14:paraId="5DA0263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第十二条、安全、环保、职业健康条款</w:t>
      </w:r>
    </w:p>
    <w:p w14:paraId="7558B57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关于安全、环保、职业健康的特别约定：买卖双方在货物生产、运输、装卸、交付过程中，应当严格遵守国家、地方有关安全、环保、职业健康的法律法规和规章；一方到对方指定地点交货、提货时，一方及其委托的运输方、运输方驾驶员还应当遵守对方的安全、环保、职业健康管理制度和要求，接受对方在安全、环保、职业健康方面的监督和管理。若因一方违反了前述规定，给对方或/及第三方造成人身伤害、财产损失的，一方应当就对方或/及第三方的全部损失承担赔偿责任。</w:t>
      </w:r>
    </w:p>
    <w:p w14:paraId="2B47321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卖方人员及车辆在买方区域内应遵守买方的安全环保等各项规定，服从现场人员指挥。未经许可，不得在买方厂区内自行装卸货物、拆解包装、动用现场工具设备等，不得在厂区内抽烟，否则这些违规行为造成的一切后果由卖方承担。</w:t>
      </w:r>
    </w:p>
    <w:p w14:paraId="33CF8D38">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第十三条、廉洁条款</w:t>
      </w:r>
    </w:p>
    <w:p w14:paraId="5924C748">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1、买卖双方应当自觉遵守国家有关法律法规和党风廉政建设等各项规定，严格杜绝违法违规行为的发生；卖方须与买方同时另行签订廉政协议并遵照执行。</w:t>
      </w:r>
    </w:p>
    <w:p w14:paraId="3A74BBFC">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2、卖方相关人员若对买方相关人员有行贿等商业不正当交往情形，买方有权停止向卖方支付合同价款，直至上述情形卖方主动配合调查清楚；买方同时有权扣除卖方合同总额30%的货款作为违约金。</w:t>
      </w:r>
    </w:p>
    <w:p w14:paraId="4A51B199">
      <w:pPr>
        <w:keepNext w:val="0"/>
        <w:keepLines w:val="0"/>
        <w:pageBreakBefore w:val="0"/>
        <w:widowControl w:val="0"/>
        <w:kinsoku/>
        <w:wordWrap/>
        <w:overflowPunct/>
        <w:topLinePunct w:val="0"/>
        <w:autoSpaceDE/>
        <w:autoSpaceDN/>
        <w:bidi w:val="0"/>
        <w:adjustRightInd/>
        <w:snapToGrid w:val="0"/>
        <w:spacing w:line="44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b/>
          <w:bCs/>
          <w:sz w:val="28"/>
          <w:szCs w:val="28"/>
        </w:rPr>
        <w:t>第</w:t>
      </w:r>
      <w:r>
        <w:rPr>
          <w:rFonts w:hint="eastAsia" w:ascii="仿宋" w:hAnsi="仿宋" w:eastAsia="仿宋"/>
          <w:b/>
          <w:bCs/>
          <w:sz w:val="28"/>
          <w:szCs w:val="28"/>
          <w:lang w:val="en-US" w:eastAsia="zh-CN"/>
        </w:rPr>
        <w:t>十四</w:t>
      </w:r>
      <w:r>
        <w:rPr>
          <w:rFonts w:hint="eastAsia" w:ascii="仿宋" w:hAnsi="仿宋" w:eastAsia="仿宋"/>
          <w:b/>
          <w:bCs/>
          <w:sz w:val="28"/>
          <w:szCs w:val="28"/>
        </w:rPr>
        <w:t>条</w:t>
      </w:r>
      <w:r>
        <w:rPr>
          <w:rFonts w:hint="eastAsia" w:ascii="仿宋" w:hAnsi="仿宋" w:eastAsia="仿宋"/>
          <w:b/>
          <w:bCs/>
          <w:sz w:val="28"/>
          <w:szCs w:val="28"/>
          <w:lang w:eastAsia="zh-CN"/>
        </w:rPr>
        <w:t>、</w:t>
      </w:r>
      <w:r>
        <w:rPr>
          <w:rFonts w:hint="eastAsia" w:ascii="仿宋" w:hAnsi="仿宋" w:eastAsia="仿宋" w:cs="仿宋"/>
          <w:b/>
          <w:bCs/>
          <w:sz w:val="28"/>
          <w:szCs w:val="28"/>
          <w:lang w:val="en-US" w:eastAsia="zh-CN"/>
        </w:rPr>
        <w:t>保密条款</w:t>
      </w:r>
    </w:p>
    <w:p w14:paraId="112209A6">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color w:val="auto"/>
          <w:sz w:val="28"/>
          <w:szCs w:val="28"/>
          <w:lang w:val="en-US" w:eastAsia="zh-CN"/>
        </w:rPr>
        <w:t>无论本合同是否实际生效并被履行，双方对在订立、履行本合同过程中知悉的双方尚未向社会公开的技术、商业情报和资料均负有保密义务，不得泄密或者不正当使用。在本合同终止之后，双方仍需履行本合同项下的保密业务，直至对方同意解除此项业务，或事实上不会因违反本合同的保密条款而给对方造成任何形式的损害为止。</w:t>
      </w:r>
    </w:p>
    <w:p w14:paraId="529169D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第十五条、解决合同纠纷的方式</w:t>
      </w:r>
    </w:p>
    <w:p w14:paraId="3EE69FA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1、凡因本合同引起的或与本合同有关的任何争议，双方友好协商，协商不成提交买方所在地人民法院解决。</w:t>
      </w:r>
    </w:p>
    <w:p w14:paraId="6A3C68C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2、因处理争议而产生的诉讼费或仲裁费、保全费、公告费、律师代理费、差旅费等全部费用，由违约方承担。</w:t>
      </w:r>
    </w:p>
    <w:p w14:paraId="3E4567E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第十六条、其他</w:t>
      </w:r>
    </w:p>
    <w:p w14:paraId="1D626958">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w:t>
      </w:r>
      <w:r>
        <w:rPr>
          <w:rFonts w:hint="eastAsia" w:ascii="仿宋" w:hAnsi="仿宋" w:eastAsia="仿宋" w:cs="仿宋"/>
          <w:b w:val="0"/>
          <w:bCs/>
          <w:kern w:val="2"/>
          <w:sz w:val="28"/>
          <w:szCs w:val="28"/>
          <w:highlight w:val="none"/>
          <w:lang w:val="en-US" w:eastAsia="zh-CN" w:bidi="ar-SA"/>
        </w:rPr>
        <w:t>合同所指买方损失均包含买方直接和间接损失。</w:t>
      </w:r>
    </w:p>
    <w:p w14:paraId="7C5466B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2、本合同自双方签字并加盖公章或合同专用章之日起生效。以合同约定通讯方式送达的扫描件与原件具有同等法律效力。</w:t>
      </w:r>
    </w:p>
    <w:p w14:paraId="700DA294">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3、合同有效期限为：</w:t>
      </w:r>
      <w:r>
        <w:rPr>
          <w:rFonts w:hint="eastAsia" w:ascii="仿宋" w:hAnsi="仿宋" w:eastAsia="仿宋"/>
          <w:sz w:val="28"/>
          <w:szCs w:val="28"/>
          <w:lang w:val="en-US" w:eastAsia="zh-CN"/>
        </w:rPr>
        <w:t>自合同生效之日起至货款两清索赔完毕为止。</w:t>
      </w:r>
    </w:p>
    <w:p w14:paraId="628C49F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4、本合同一式【6】份，买方执【4】份，卖方执【2】份，具有同等法律效力。未尽事宜，双方另行协商确定。</w:t>
      </w:r>
    </w:p>
    <w:p w14:paraId="6E614F4F">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（以下无正文）</w:t>
      </w:r>
    </w:p>
    <w:p w14:paraId="420007E2">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p>
    <w:tbl>
      <w:tblPr>
        <w:tblStyle w:val="6"/>
        <w:tblpPr w:leftFromText="180" w:rightFromText="180" w:vertAnchor="text" w:horzAnchor="page" w:tblpX="1479" w:tblpY="99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6"/>
        <w:gridCol w:w="4474"/>
      </w:tblGrid>
      <w:tr w14:paraId="7F7B3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6" w:hRule="atLeast"/>
        </w:trPr>
        <w:tc>
          <w:tcPr>
            <w:tcW w:w="4826" w:type="dxa"/>
            <w:noWrap w:val="0"/>
            <w:vAlign w:val="top"/>
          </w:tcPr>
          <w:p w14:paraId="6C6A922A">
            <w:pPr>
              <w:keepNext w:val="0"/>
              <w:keepLines w:val="0"/>
              <w:pageBreakBefore w:val="0"/>
              <w:widowControl w:val="0"/>
              <w:kinsoku/>
              <w:wordWrap/>
              <w:overflowPunct/>
              <w:topLinePunct w:val="0"/>
              <w:autoSpaceDE/>
              <w:autoSpaceDN/>
              <w:bidi w:val="0"/>
              <w:adjustRightInd/>
              <w:snapToGrid/>
              <w:spacing w:line="440" w:lineRule="exact"/>
              <w:ind w:firstLine="117" w:firstLineChars="49"/>
              <w:textAlignment w:val="auto"/>
              <w:rPr>
                <w:rFonts w:hint="eastAsia" w:ascii="仿宋" w:hAnsi="仿宋" w:eastAsia="仿宋"/>
                <w:sz w:val="24"/>
                <w:szCs w:val="24"/>
              </w:rPr>
            </w:pPr>
            <w:r>
              <w:rPr>
                <w:rFonts w:hint="eastAsia" w:ascii="仿宋" w:hAnsi="仿宋" w:eastAsia="仿宋"/>
                <w:sz w:val="24"/>
                <w:szCs w:val="24"/>
              </w:rPr>
              <w:t>买方：</w:t>
            </w:r>
          </w:p>
          <w:p w14:paraId="2A968618">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地址：</w:t>
            </w:r>
          </w:p>
          <w:p w14:paraId="4E4CA59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rPr>
            </w:pPr>
            <w:r>
              <w:rPr>
                <w:rFonts w:hint="eastAsia" w:ascii="仿宋" w:hAnsi="仿宋" w:eastAsia="仿宋"/>
                <w:sz w:val="24"/>
                <w:szCs w:val="24"/>
              </w:rPr>
              <w:t xml:space="preserve"> 电话：</w:t>
            </w:r>
            <w:r>
              <w:rPr>
                <w:rFonts w:hint="eastAsia" w:ascii="仿宋" w:hAnsi="仿宋" w:eastAsia="仿宋"/>
                <w:sz w:val="24"/>
                <w:szCs w:val="24"/>
              </w:rPr>
              <w:tab/>
            </w:r>
          </w:p>
          <w:p w14:paraId="7BE7BE76">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开户行：</w:t>
            </w:r>
          </w:p>
          <w:p w14:paraId="7550F647">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账号：</w:t>
            </w:r>
          </w:p>
          <w:p w14:paraId="6EFDAAD3">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税号：</w:t>
            </w:r>
            <w:r>
              <w:rPr>
                <w:rFonts w:hint="eastAsia" w:ascii="仿宋" w:hAnsi="仿宋" w:eastAsia="仿宋"/>
                <w:sz w:val="24"/>
                <w:szCs w:val="24"/>
              </w:rPr>
              <w:t xml:space="preserve"> </w:t>
            </w:r>
          </w:p>
          <w:p w14:paraId="32350330">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sz w:val="24"/>
                <w:szCs w:val="24"/>
                <w:lang w:val="en-US" w:eastAsia="zh-CN"/>
              </w:rPr>
              <w:t>法人/</w:t>
            </w:r>
            <w:r>
              <w:rPr>
                <w:rFonts w:hint="eastAsia" w:ascii="仿宋" w:hAnsi="仿宋" w:eastAsia="仿宋"/>
                <w:sz w:val="24"/>
                <w:szCs w:val="24"/>
              </w:rPr>
              <w:t>委托代理人：</w:t>
            </w:r>
          </w:p>
        </w:tc>
        <w:tc>
          <w:tcPr>
            <w:tcW w:w="4474" w:type="dxa"/>
            <w:noWrap w:val="0"/>
            <w:vAlign w:val="top"/>
          </w:tcPr>
          <w:p w14:paraId="7987A5B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lang w:eastAsia="zh-CN"/>
              </w:rPr>
            </w:pPr>
            <w:r>
              <w:rPr>
                <w:rFonts w:hint="eastAsia" w:ascii="仿宋" w:hAnsi="仿宋" w:eastAsia="仿宋"/>
                <w:sz w:val="24"/>
                <w:szCs w:val="24"/>
              </w:rPr>
              <w:t>卖方：</w:t>
            </w:r>
            <w:r>
              <w:rPr>
                <w:rFonts w:hint="eastAsia" w:ascii="仿宋" w:hAnsi="仿宋" w:eastAsia="仿宋"/>
                <w:sz w:val="24"/>
                <w:szCs w:val="24"/>
                <w:lang w:val="en-US" w:eastAsia="zh-CN"/>
              </w:rPr>
              <w:t xml:space="preserve"> </w:t>
            </w:r>
          </w:p>
          <w:p w14:paraId="335C88E0">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仿宋" w:hAnsi="仿宋" w:eastAsia="仿宋"/>
                <w:sz w:val="24"/>
                <w:szCs w:val="24"/>
                <w:lang w:val="en-US"/>
              </w:rPr>
            </w:pPr>
            <w:r>
              <w:rPr>
                <w:rFonts w:hint="eastAsia" w:ascii="仿宋" w:hAnsi="仿宋" w:eastAsia="仿宋"/>
                <w:sz w:val="24"/>
                <w:szCs w:val="24"/>
              </w:rPr>
              <w:t>地址：</w:t>
            </w:r>
          </w:p>
          <w:p w14:paraId="57DCDFA9">
            <w:pPr>
              <w:keepNext w:val="0"/>
              <w:keepLines w:val="0"/>
              <w:pageBreakBefore w:val="0"/>
              <w:widowControl w:val="0"/>
              <w:tabs>
                <w:tab w:val="right" w:pos="4385"/>
              </w:tabs>
              <w:kinsoku/>
              <w:wordWrap/>
              <w:overflowPunct/>
              <w:topLinePunct w:val="0"/>
              <w:autoSpaceDE/>
              <w:autoSpaceDN/>
              <w:bidi w:val="0"/>
              <w:adjustRightInd/>
              <w:snapToGrid/>
              <w:spacing w:line="440" w:lineRule="exact"/>
              <w:textAlignment w:val="auto"/>
              <w:rPr>
                <w:rFonts w:hint="eastAsia" w:ascii="仿宋" w:hAnsi="仿宋" w:eastAsia="仿宋"/>
                <w:sz w:val="24"/>
                <w:szCs w:val="24"/>
              </w:rPr>
            </w:pPr>
            <w:r>
              <w:rPr>
                <w:rFonts w:hint="eastAsia" w:ascii="仿宋" w:hAnsi="仿宋" w:eastAsia="仿宋"/>
                <w:sz w:val="24"/>
                <w:szCs w:val="24"/>
              </w:rPr>
              <w:t>电话：</w:t>
            </w:r>
            <w:r>
              <w:rPr>
                <w:rFonts w:ascii="仿宋" w:hAnsi="仿宋" w:eastAsia="仿宋"/>
                <w:sz w:val="24"/>
                <w:szCs w:val="24"/>
              </w:rPr>
              <w:tab/>
            </w:r>
          </w:p>
          <w:p w14:paraId="6C36C790">
            <w:pPr>
              <w:keepNext w:val="0"/>
              <w:keepLines w:val="0"/>
              <w:pageBreakBefore w:val="0"/>
              <w:widowControl w:val="0"/>
              <w:kinsoku/>
              <w:wordWrap/>
              <w:overflowPunct/>
              <w:topLinePunct w:val="0"/>
              <w:autoSpaceDE/>
              <w:autoSpaceDN/>
              <w:bidi w:val="0"/>
              <w:adjustRightInd/>
              <w:snapToGrid/>
              <w:spacing w:line="440" w:lineRule="exact"/>
              <w:ind w:left="840" w:hanging="840" w:hangingChars="350"/>
              <w:textAlignment w:val="auto"/>
              <w:rPr>
                <w:rFonts w:hint="eastAsia" w:ascii="仿宋" w:hAnsi="仿宋" w:eastAsia="仿宋"/>
                <w:sz w:val="24"/>
                <w:szCs w:val="24"/>
                <w:lang w:eastAsia="zh-CN"/>
              </w:rPr>
            </w:pPr>
            <w:r>
              <w:rPr>
                <w:rFonts w:hint="eastAsia" w:ascii="仿宋" w:hAnsi="仿宋" w:eastAsia="仿宋"/>
                <w:sz w:val="24"/>
                <w:szCs w:val="24"/>
              </w:rPr>
              <w:t>开户行：</w:t>
            </w:r>
            <w:r>
              <w:rPr>
                <w:rFonts w:hint="eastAsia" w:ascii="仿宋" w:hAnsi="仿宋" w:eastAsia="仿宋"/>
                <w:sz w:val="24"/>
                <w:szCs w:val="24"/>
                <w:lang w:val="en-US" w:eastAsia="zh-CN"/>
              </w:rPr>
              <w:t xml:space="preserve"> </w:t>
            </w:r>
          </w:p>
          <w:p w14:paraId="3943E73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lang w:val="en-US" w:eastAsia="zh-CN"/>
              </w:rPr>
            </w:pPr>
            <w:r>
              <w:rPr>
                <w:rFonts w:hint="eastAsia" w:ascii="仿宋" w:hAnsi="仿宋" w:eastAsia="仿宋" w:cs="仿宋_GB2312"/>
                <w:sz w:val="24"/>
                <w:szCs w:val="24"/>
              </w:rPr>
              <w:t>账号</w:t>
            </w:r>
            <w:r>
              <w:rPr>
                <w:rFonts w:hint="eastAsia" w:ascii="仿宋" w:hAnsi="仿宋" w:eastAsia="仿宋"/>
                <w:sz w:val="24"/>
                <w:szCs w:val="24"/>
              </w:rPr>
              <w:t>：</w:t>
            </w:r>
            <w:r>
              <w:rPr>
                <w:rFonts w:hint="eastAsia" w:ascii="仿宋" w:hAnsi="仿宋" w:eastAsia="仿宋"/>
                <w:sz w:val="24"/>
                <w:szCs w:val="24"/>
                <w:lang w:val="en-US" w:eastAsia="zh-CN"/>
              </w:rPr>
              <w:t xml:space="preserve"> </w:t>
            </w:r>
          </w:p>
          <w:p w14:paraId="5B7D6E5B">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仿宋" w:hAnsi="仿宋" w:eastAsia="仿宋"/>
                <w:sz w:val="24"/>
                <w:szCs w:val="24"/>
                <w:lang w:val="en-US" w:eastAsia="zh-CN"/>
              </w:rPr>
            </w:pPr>
            <w:r>
              <w:rPr>
                <w:rFonts w:hint="eastAsia" w:ascii="仿宋" w:hAnsi="仿宋" w:eastAsia="仿宋" w:cs="仿宋_GB2312"/>
                <w:sz w:val="24"/>
                <w:szCs w:val="24"/>
              </w:rPr>
              <w:t>税号</w:t>
            </w:r>
            <w:r>
              <w:rPr>
                <w:rFonts w:hint="eastAsia" w:ascii="仿宋" w:hAnsi="仿宋" w:eastAsia="仿宋"/>
                <w:sz w:val="24"/>
                <w:szCs w:val="24"/>
              </w:rPr>
              <w:t>：</w:t>
            </w:r>
          </w:p>
          <w:p w14:paraId="16796D8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rPr>
            </w:pPr>
            <w:r>
              <w:rPr>
                <w:rFonts w:hint="eastAsia" w:ascii="仿宋" w:hAnsi="仿宋" w:eastAsia="仿宋"/>
                <w:sz w:val="24"/>
                <w:szCs w:val="24"/>
                <w:lang w:val="en-US" w:eastAsia="zh-CN"/>
              </w:rPr>
              <w:t>法人/</w:t>
            </w:r>
            <w:r>
              <w:rPr>
                <w:rFonts w:hint="eastAsia" w:ascii="仿宋" w:hAnsi="仿宋" w:eastAsia="仿宋"/>
                <w:sz w:val="24"/>
                <w:szCs w:val="24"/>
              </w:rPr>
              <w:t>委托代理人：</w:t>
            </w:r>
          </w:p>
        </w:tc>
      </w:tr>
    </w:tbl>
    <w:p w14:paraId="49717DA2">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p>
    <w:p w14:paraId="6D36ACF5">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p>
    <w:sectPr>
      <w:headerReference r:id="rId3" w:type="default"/>
      <w:footerReference r:id="rId4" w:type="default"/>
      <w:footerReference r:id="rId5" w:type="even"/>
      <w:pgSz w:w="11906" w:h="16838"/>
      <w:pgMar w:top="130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E763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FBBF7A1">
                          <w:pPr>
                            <w:pStyle w:val="4"/>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26bKzmAQAAyAMAAA4AAABkcnMvZTJvRG9jLnhtbK1TzY7TMBC+&#10;I/EOlu80aaWFKGq6WqgWISFAWngA17EbS/6Tx21SHgDegBMX7jxXn2PHTtJFy2UPe0nG8/PNfJ/H&#10;6+vBaHIUAZSzDV0uSkqE5a5Vdt/Qb19vX1WUQGS2ZdpZ0dCTAHq9efli3ftarFzndCsCQRALde8b&#10;2sXo66IA3gnDYOG8sBiULhgW8Rj2RRtYj+hGF6uyfF30LrQ+OC4A0Lsdg3RCDE8BdFIqLraOH4yw&#10;cUQNQrOIlKBTHugmTyul4PGzlCAi0Q1FpjF/sQnau/QtNmtW7wPzneLTCOwpIzziZJiy2PQCtWWR&#10;kUNQ/0EZxYMDJ+OCO1OMRLIiyGJZPtLmrmNeZC4oNfiL6PB8sPzT8UsgqsVNoMQygxd+/vXz/Pvv&#10;+c8Pskzy9B5qzLrzmBeHt25IqZMf0JlYDzKY9Ec+BOMo7ukirhgi4amoWlVViSGOsfmAOMVDuQ8Q&#10;3wtnSDIaGvD2sqjs+BHimDqnpG7W3Sqt0c9qbUmPqFfVm6tccQkhurbYJLEYp01WHHbDRGHn2hMy&#10;wweBHTsXvlPS4zo01OL2U6I/WFQ7bc5shNnYzQazHAsbGikZzXdx3LCDD2rf5Z1LQ4K/OUScOVNJ&#10;Y4y9p+nwgrMY0zKmDfr3nLMeHuDmH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C9umys5gEA&#10;AMgDAAAOAAAAAAAAAAEAIAAAACIBAABkcnMvZTJvRG9jLnhtbFBLBQYAAAAABgAGAFkBAAB6BQAA&#10;AAA=&#10;">
              <v:fill on="f" focussize="0,0"/>
              <v:stroke on="f" weight="1.25pt"/>
              <v:imagedata o:title=""/>
              <o:lock v:ext="edit" aspectratio="f"/>
              <v:textbox inset="0mm,0mm,0mm,0mm" style="mso-fit-shape-to-text:t;">
                <w:txbxContent>
                  <w:p w14:paraId="1FBBF7A1">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FF337">
    <w:pPr>
      <w:pStyle w:val="4"/>
      <w:framePr w:wrap="around" w:vAnchor="text" w:hAnchor="margin" w:xAlign="center" w:y="1"/>
      <w:rPr>
        <w:rStyle w:val="8"/>
      </w:rPr>
    </w:pPr>
    <w:r>
      <w:fldChar w:fldCharType="begin"/>
    </w:r>
    <w:r>
      <w:rPr>
        <w:rStyle w:val="8"/>
      </w:rPr>
      <w:instrText xml:space="preserve">PAGE  </w:instrText>
    </w:r>
    <w:r>
      <w:fldChar w:fldCharType="separate"/>
    </w:r>
    <w:r>
      <w:fldChar w:fldCharType="end"/>
    </w:r>
  </w:p>
  <w:p w14:paraId="467B70C7">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229E6">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xYTAzMWEwNzAzNjEwMTIzYzUwYmMwNzUxYmM0YWEifQ=="/>
  </w:docVars>
  <w:rsids>
    <w:rsidRoot w:val="00172A27"/>
    <w:rsid w:val="00004991"/>
    <w:rsid w:val="00016896"/>
    <w:rsid w:val="00017634"/>
    <w:rsid w:val="0002117A"/>
    <w:rsid w:val="0002190B"/>
    <w:rsid w:val="00027789"/>
    <w:rsid w:val="00030207"/>
    <w:rsid w:val="00033B47"/>
    <w:rsid w:val="00040DFB"/>
    <w:rsid w:val="000528A6"/>
    <w:rsid w:val="000534B0"/>
    <w:rsid w:val="00054848"/>
    <w:rsid w:val="000758D4"/>
    <w:rsid w:val="00076444"/>
    <w:rsid w:val="00077772"/>
    <w:rsid w:val="00082985"/>
    <w:rsid w:val="00085F28"/>
    <w:rsid w:val="00086E2C"/>
    <w:rsid w:val="00092965"/>
    <w:rsid w:val="000952A6"/>
    <w:rsid w:val="000B1FCB"/>
    <w:rsid w:val="000B23DE"/>
    <w:rsid w:val="000B44C9"/>
    <w:rsid w:val="000B6D30"/>
    <w:rsid w:val="000C0BA4"/>
    <w:rsid w:val="000C20AB"/>
    <w:rsid w:val="000C78B3"/>
    <w:rsid w:val="000D040A"/>
    <w:rsid w:val="000D185C"/>
    <w:rsid w:val="000D50C5"/>
    <w:rsid w:val="000D6230"/>
    <w:rsid w:val="000F1E58"/>
    <w:rsid w:val="000F6CB4"/>
    <w:rsid w:val="001008A5"/>
    <w:rsid w:val="001106AC"/>
    <w:rsid w:val="00112853"/>
    <w:rsid w:val="0011335E"/>
    <w:rsid w:val="00115C1A"/>
    <w:rsid w:val="00121221"/>
    <w:rsid w:val="001252F3"/>
    <w:rsid w:val="00125CE6"/>
    <w:rsid w:val="001268DA"/>
    <w:rsid w:val="001305F0"/>
    <w:rsid w:val="00130F85"/>
    <w:rsid w:val="001336EF"/>
    <w:rsid w:val="0013717A"/>
    <w:rsid w:val="001503AC"/>
    <w:rsid w:val="00157B8E"/>
    <w:rsid w:val="00162A15"/>
    <w:rsid w:val="00165AD7"/>
    <w:rsid w:val="001666AF"/>
    <w:rsid w:val="0017277B"/>
    <w:rsid w:val="0018063B"/>
    <w:rsid w:val="00181907"/>
    <w:rsid w:val="00183F65"/>
    <w:rsid w:val="00184137"/>
    <w:rsid w:val="001858A4"/>
    <w:rsid w:val="00195A66"/>
    <w:rsid w:val="0019664B"/>
    <w:rsid w:val="001A06FA"/>
    <w:rsid w:val="001A7E21"/>
    <w:rsid w:val="001C142F"/>
    <w:rsid w:val="001C3887"/>
    <w:rsid w:val="001C3EA2"/>
    <w:rsid w:val="001C5572"/>
    <w:rsid w:val="001E3790"/>
    <w:rsid w:val="001F0948"/>
    <w:rsid w:val="001F1323"/>
    <w:rsid w:val="001F5439"/>
    <w:rsid w:val="00204273"/>
    <w:rsid w:val="00207532"/>
    <w:rsid w:val="00211B62"/>
    <w:rsid w:val="002138C3"/>
    <w:rsid w:val="00225615"/>
    <w:rsid w:val="00231D8B"/>
    <w:rsid w:val="00234498"/>
    <w:rsid w:val="00235C1A"/>
    <w:rsid w:val="002362C8"/>
    <w:rsid w:val="00241A3E"/>
    <w:rsid w:val="00245B61"/>
    <w:rsid w:val="00246C76"/>
    <w:rsid w:val="00252280"/>
    <w:rsid w:val="002525DD"/>
    <w:rsid w:val="002606B0"/>
    <w:rsid w:val="00263CE0"/>
    <w:rsid w:val="0026427E"/>
    <w:rsid w:val="00264516"/>
    <w:rsid w:val="00265238"/>
    <w:rsid w:val="00267B23"/>
    <w:rsid w:val="0027585B"/>
    <w:rsid w:val="00276837"/>
    <w:rsid w:val="00276999"/>
    <w:rsid w:val="00277587"/>
    <w:rsid w:val="002775D7"/>
    <w:rsid w:val="002837AC"/>
    <w:rsid w:val="002925ED"/>
    <w:rsid w:val="00295586"/>
    <w:rsid w:val="002A0466"/>
    <w:rsid w:val="002A14F3"/>
    <w:rsid w:val="002A2F86"/>
    <w:rsid w:val="002A52C4"/>
    <w:rsid w:val="002B2CE9"/>
    <w:rsid w:val="002B391A"/>
    <w:rsid w:val="002B4B11"/>
    <w:rsid w:val="002B6B9F"/>
    <w:rsid w:val="002D269F"/>
    <w:rsid w:val="002D42AC"/>
    <w:rsid w:val="002D68A9"/>
    <w:rsid w:val="002E1689"/>
    <w:rsid w:val="002E373C"/>
    <w:rsid w:val="002F17D5"/>
    <w:rsid w:val="002F46CB"/>
    <w:rsid w:val="0030402F"/>
    <w:rsid w:val="0031219F"/>
    <w:rsid w:val="00320E05"/>
    <w:rsid w:val="00323500"/>
    <w:rsid w:val="003235C0"/>
    <w:rsid w:val="003247EE"/>
    <w:rsid w:val="00327504"/>
    <w:rsid w:val="003277AF"/>
    <w:rsid w:val="003311F0"/>
    <w:rsid w:val="00333C0C"/>
    <w:rsid w:val="003403B4"/>
    <w:rsid w:val="003429F8"/>
    <w:rsid w:val="0034456F"/>
    <w:rsid w:val="00345C52"/>
    <w:rsid w:val="0034613A"/>
    <w:rsid w:val="00366E1F"/>
    <w:rsid w:val="003747C5"/>
    <w:rsid w:val="003755BF"/>
    <w:rsid w:val="0037573E"/>
    <w:rsid w:val="003802FD"/>
    <w:rsid w:val="00381387"/>
    <w:rsid w:val="0038693F"/>
    <w:rsid w:val="003869A1"/>
    <w:rsid w:val="0039059D"/>
    <w:rsid w:val="00392D32"/>
    <w:rsid w:val="00397E6F"/>
    <w:rsid w:val="003A68B9"/>
    <w:rsid w:val="003B4223"/>
    <w:rsid w:val="003C7699"/>
    <w:rsid w:val="003D4D4F"/>
    <w:rsid w:val="003D760E"/>
    <w:rsid w:val="003E3DA0"/>
    <w:rsid w:val="003F1E0C"/>
    <w:rsid w:val="003F6231"/>
    <w:rsid w:val="003F794C"/>
    <w:rsid w:val="00400415"/>
    <w:rsid w:val="00401BEC"/>
    <w:rsid w:val="00415B8A"/>
    <w:rsid w:val="004311BD"/>
    <w:rsid w:val="00440759"/>
    <w:rsid w:val="00446D78"/>
    <w:rsid w:val="00451A4B"/>
    <w:rsid w:val="00470FF2"/>
    <w:rsid w:val="00472E1C"/>
    <w:rsid w:val="004763EF"/>
    <w:rsid w:val="00481557"/>
    <w:rsid w:val="004872F7"/>
    <w:rsid w:val="00487415"/>
    <w:rsid w:val="004918F5"/>
    <w:rsid w:val="004A24F8"/>
    <w:rsid w:val="004A318A"/>
    <w:rsid w:val="004A71EB"/>
    <w:rsid w:val="004B3072"/>
    <w:rsid w:val="004B6BFD"/>
    <w:rsid w:val="004C2167"/>
    <w:rsid w:val="004C38F2"/>
    <w:rsid w:val="004C738D"/>
    <w:rsid w:val="004E0D5D"/>
    <w:rsid w:val="004E79C8"/>
    <w:rsid w:val="004F09F3"/>
    <w:rsid w:val="004F0E9C"/>
    <w:rsid w:val="004F3042"/>
    <w:rsid w:val="004F53C6"/>
    <w:rsid w:val="004F5F08"/>
    <w:rsid w:val="0050066D"/>
    <w:rsid w:val="005024D9"/>
    <w:rsid w:val="00510A7E"/>
    <w:rsid w:val="005148FE"/>
    <w:rsid w:val="005156DB"/>
    <w:rsid w:val="00515A13"/>
    <w:rsid w:val="00517BAD"/>
    <w:rsid w:val="0053325F"/>
    <w:rsid w:val="00536AF7"/>
    <w:rsid w:val="005422D1"/>
    <w:rsid w:val="0055167D"/>
    <w:rsid w:val="005619BF"/>
    <w:rsid w:val="00564C14"/>
    <w:rsid w:val="00571B02"/>
    <w:rsid w:val="00573042"/>
    <w:rsid w:val="00580815"/>
    <w:rsid w:val="0058320B"/>
    <w:rsid w:val="00587F01"/>
    <w:rsid w:val="0059116B"/>
    <w:rsid w:val="00591EC2"/>
    <w:rsid w:val="005938B6"/>
    <w:rsid w:val="00595DA6"/>
    <w:rsid w:val="005A134F"/>
    <w:rsid w:val="005A72C2"/>
    <w:rsid w:val="005C1715"/>
    <w:rsid w:val="005C374E"/>
    <w:rsid w:val="005D1FBE"/>
    <w:rsid w:val="005D2A2F"/>
    <w:rsid w:val="005D330C"/>
    <w:rsid w:val="005D67D5"/>
    <w:rsid w:val="005D7C50"/>
    <w:rsid w:val="005E3E62"/>
    <w:rsid w:val="005E4607"/>
    <w:rsid w:val="005E56C2"/>
    <w:rsid w:val="005E719A"/>
    <w:rsid w:val="005F5E6A"/>
    <w:rsid w:val="00603EA8"/>
    <w:rsid w:val="00607C2B"/>
    <w:rsid w:val="00614E5D"/>
    <w:rsid w:val="00617AF4"/>
    <w:rsid w:val="00621A4B"/>
    <w:rsid w:val="00625AD5"/>
    <w:rsid w:val="00627D85"/>
    <w:rsid w:val="006321F7"/>
    <w:rsid w:val="00642778"/>
    <w:rsid w:val="0064281C"/>
    <w:rsid w:val="00643A4B"/>
    <w:rsid w:val="00645AAC"/>
    <w:rsid w:val="00647EBA"/>
    <w:rsid w:val="00655C99"/>
    <w:rsid w:val="00664278"/>
    <w:rsid w:val="00670034"/>
    <w:rsid w:val="006703BB"/>
    <w:rsid w:val="00670F35"/>
    <w:rsid w:val="006744BC"/>
    <w:rsid w:val="00676A54"/>
    <w:rsid w:val="0067786B"/>
    <w:rsid w:val="00684DA6"/>
    <w:rsid w:val="0069775C"/>
    <w:rsid w:val="006A5589"/>
    <w:rsid w:val="006B5A02"/>
    <w:rsid w:val="006D527E"/>
    <w:rsid w:val="006D7D06"/>
    <w:rsid w:val="006E65EA"/>
    <w:rsid w:val="006F0FA9"/>
    <w:rsid w:val="006F355D"/>
    <w:rsid w:val="006F4E3A"/>
    <w:rsid w:val="00710D7C"/>
    <w:rsid w:val="00714065"/>
    <w:rsid w:val="00717752"/>
    <w:rsid w:val="00720001"/>
    <w:rsid w:val="00721C10"/>
    <w:rsid w:val="0072797D"/>
    <w:rsid w:val="0073038F"/>
    <w:rsid w:val="00730FD2"/>
    <w:rsid w:val="00731081"/>
    <w:rsid w:val="0073514F"/>
    <w:rsid w:val="00736E25"/>
    <w:rsid w:val="00752AED"/>
    <w:rsid w:val="007540B4"/>
    <w:rsid w:val="007544ED"/>
    <w:rsid w:val="00755186"/>
    <w:rsid w:val="007579B5"/>
    <w:rsid w:val="00762C83"/>
    <w:rsid w:val="00763473"/>
    <w:rsid w:val="00763A47"/>
    <w:rsid w:val="00763AC9"/>
    <w:rsid w:val="00770BEB"/>
    <w:rsid w:val="00774B4F"/>
    <w:rsid w:val="00775ED7"/>
    <w:rsid w:val="00780C49"/>
    <w:rsid w:val="00786B96"/>
    <w:rsid w:val="007879E9"/>
    <w:rsid w:val="00790FEC"/>
    <w:rsid w:val="00794226"/>
    <w:rsid w:val="0079501A"/>
    <w:rsid w:val="00796279"/>
    <w:rsid w:val="007A15AC"/>
    <w:rsid w:val="007A20E5"/>
    <w:rsid w:val="007A3483"/>
    <w:rsid w:val="007A3EB6"/>
    <w:rsid w:val="007B0468"/>
    <w:rsid w:val="007B1881"/>
    <w:rsid w:val="007B4096"/>
    <w:rsid w:val="007B5B54"/>
    <w:rsid w:val="007B72F5"/>
    <w:rsid w:val="007B7429"/>
    <w:rsid w:val="007C2AB7"/>
    <w:rsid w:val="007D1AC1"/>
    <w:rsid w:val="007D7808"/>
    <w:rsid w:val="007E78B4"/>
    <w:rsid w:val="0080601C"/>
    <w:rsid w:val="00807C69"/>
    <w:rsid w:val="008120EB"/>
    <w:rsid w:val="00815117"/>
    <w:rsid w:val="008177D5"/>
    <w:rsid w:val="00830DEE"/>
    <w:rsid w:val="008346A1"/>
    <w:rsid w:val="0083524A"/>
    <w:rsid w:val="008353B0"/>
    <w:rsid w:val="00840DBA"/>
    <w:rsid w:val="00845C19"/>
    <w:rsid w:val="0085181B"/>
    <w:rsid w:val="008543DA"/>
    <w:rsid w:val="008549AF"/>
    <w:rsid w:val="00862D37"/>
    <w:rsid w:val="00864F01"/>
    <w:rsid w:val="0086703A"/>
    <w:rsid w:val="00874308"/>
    <w:rsid w:val="008805E5"/>
    <w:rsid w:val="00881387"/>
    <w:rsid w:val="00886AC5"/>
    <w:rsid w:val="0089567B"/>
    <w:rsid w:val="008A2385"/>
    <w:rsid w:val="008A387C"/>
    <w:rsid w:val="008B46EC"/>
    <w:rsid w:val="008B7053"/>
    <w:rsid w:val="008C6772"/>
    <w:rsid w:val="008C6AFE"/>
    <w:rsid w:val="008D01FF"/>
    <w:rsid w:val="008D02C6"/>
    <w:rsid w:val="008D7815"/>
    <w:rsid w:val="008D7DA6"/>
    <w:rsid w:val="008D7DD4"/>
    <w:rsid w:val="008E36C3"/>
    <w:rsid w:val="008E670A"/>
    <w:rsid w:val="008E79F5"/>
    <w:rsid w:val="008F4C1F"/>
    <w:rsid w:val="00902F95"/>
    <w:rsid w:val="009044A6"/>
    <w:rsid w:val="009107E5"/>
    <w:rsid w:val="00944173"/>
    <w:rsid w:val="00944E7C"/>
    <w:rsid w:val="0096099D"/>
    <w:rsid w:val="00965DE4"/>
    <w:rsid w:val="009703FF"/>
    <w:rsid w:val="0097202D"/>
    <w:rsid w:val="009728A2"/>
    <w:rsid w:val="00984186"/>
    <w:rsid w:val="00987AD8"/>
    <w:rsid w:val="009924DB"/>
    <w:rsid w:val="009A24EC"/>
    <w:rsid w:val="009B218E"/>
    <w:rsid w:val="009C25C4"/>
    <w:rsid w:val="009C4E2D"/>
    <w:rsid w:val="009C649B"/>
    <w:rsid w:val="009D5B62"/>
    <w:rsid w:val="009D6F8B"/>
    <w:rsid w:val="009D75CA"/>
    <w:rsid w:val="009E3751"/>
    <w:rsid w:val="009E3DCD"/>
    <w:rsid w:val="009F0194"/>
    <w:rsid w:val="009F2C04"/>
    <w:rsid w:val="009F4DFF"/>
    <w:rsid w:val="00A00329"/>
    <w:rsid w:val="00A03543"/>
    <w:rsid w:val="00A05C4F"/>
    <w:rsid w:val="00A11C21"/>
    <w:rsid w:val="00A239C8"/>
    <w:rsid w:val="00A26AA8"/>
    <w:rsid w:val="00A40F87"/>
    <w:rsid w:val="00A43B6A"/>
    <w:rsid w:val="00A47472"/>
    <w:rsid w:val="00A51319"/>
    <w:rsid w:val="00A5404F"/>
    <w:rsid w:val="00A5411B"/>
    <w:rsid w:val="00A54FB6"/>
    <w:rsid w:val="00A6511A"/>
    <w:rsid w:val="00A65815"/>
    <w:rsid w:val="00A8046F"/>
    <w:rsid w:val="00A82781"/>
    <w:rsid w:val="00A91605"/>
    <w:rsid w:val="00AA10C2"/>
    <w:rsid w:val="00AA3B3D"/>
    <w:rsid w:val="00AB02AE"/>
    <w:rsid w:val="00AB4001"/>
    <w:rsid w:val="00AB42A3"/>
    <w:rsid w:val="00AB5AA4"/>
    <w:rsid w:val="00AB773A"/>
    <w:rsid w:val="00AD5355"/>
    <w:rsid w:val="00AE1BEE"/>
    <w:rsid w:val="00AE635F"/>
    <w:rsid w:val="00AF3B75"/>
    <w:rsid w:val="00AF52FA"/>
    <w:rsid w:val="00AF5E56"/>
    <w:rsid w:val="00AF6220"/>
    <w:rsid w:val="00B02AE7"/>
    <w:rsid w:val="00B05D98"/>
    <w:rsid w:val="00B1160A"/>
    <w:rsid w:val="00B2255B"/>
    <w:rsid w:val="00B23C7E"/>
    <w:rsid w:val="00B31668"/>
    <w:rsid w:val="00B31917"/>
    <w:rsid w:val="00B33ACE"/>
    <w:rsid w:val="00B421BC"/>
    <w:rsid w:val="00B453F2"/>
    <w:rsid w:val="00B55415"/>
    <w:rsid w:val="00B55660"/>
    <w:rsid w:val="00B5571A"/>
    <w:rsid w:val="00B57CA5"/>
    <w:rsid w:val="00B611EA"/>
    <w:rsid w:val="00B61FA1"/>
    <w:rsid w:val="00B67633"/>
    <w:rsid w:val="00B7018A"/>
    <w:rsid w:val="00B70785"/>
    <w:rsid w:val="00B709E3"/>
    <w:rsid w:val="00B70E32"/>
    <w:rsid w:val="00B72B81"/>
    <w:rsid w:val="00B77859"/>
    <w:rsid w:val="00B8015E"/>
    <w:rsid w:val="00B846AC"/>
    <w:rsid w:val="00B86398"/>
    <w:rsid w:val="00B86697"/>
    <w:rsid w:val="00B91873"/>
    <w:rsid w:val="00B91E7F"/>
    <w:rsid w:val="00B94E8F"/>
    <w:rsid w:val="00B95413"/>
    <w:rsid w:val="00BB49F5"/>
    <w:rsid w:val="00BB791B"/>
    <w:rsid w:val="00BD54D5"/>
    <w:rsid w:val="00BD577A"/>
    <w:rsid w:val="00BE1639"/>
    <w:rsid w:val="00BE3B6A"/>
    <w:rsid w:val="00BF2B17"/>
    <w:rsid w:val="00BF3E47"/>
    <w:rsid w:val="00BF4EDD"/>
    <w:rsid w:val="00C02528"/>
    <w:rsid w:val="00C0568A"/>
    <w:rsid w:val="00C14E70"/>
    <w:rsid w:val="00C207EE"/>
    <w:rsid w:val="00C32922"/>
    <w:rsid w:val="00C349B1"/>
    <w:rsid w:val="00C35791"/>
    <w:rsid w:val="00C363B6"/>
    <w:rsid w:val="00C36DC6"/>
    <w:rsid w:val="00C36E16"/>
    <w:rsid w:val="00C402A8"/>
    <w:rsid w:val="00C41D1C"/>
    <w:rsid w:val="00C44C93"/>
    <w:rsid w:val="00C51BA1"/>
    <w:rsid w:val="00C53C19"/>
    <w:rsid w:val="00C57644"/>
    <w:rsid w:val="00C6165B"/>
    <w:rsid w:val="00C65EC9"/>
    <w:rsid w:val="00C74AB4"/>
    <w:rsid w:val="00C80E19"/>
    <w:rsid w:val="00C83284"/>
    <w:rsid w:val="00CC6CF1"/>
    <w:rsid w:val="00CD1AFC"/>
    <w:rsid w:val="00CD31CA"/>
    <w:rsid w:val="00CD51DE"/>
    <w:rsid w:val="00CE1112"/>
    <w:rsid w:val="00CF3A48"/>
    <w:rsid w:val="00CF4BD3"/>
    <w:rsid w:val="00CF582E"/>
    <w:rsid w:val="00D07FB5"/>
    <w:rsid w:val="00D10577"/>
    <w:rsid w:val="00D17B32"/>
    <w:rsid w:val="00D22986"/>
    <w:rsid w:val="00D23477"/>
    <w:rsid w:val="00D26163"/>
    <w:rsid w:val="00D30FC2"/>
    <w:rsid w:val="00D311C5"/>
    <w:rsid w:val="00D313D0"/>
    <w:rsid w:val="00D31FCB"/>
    <w:rsid w:val="00D42933"/>
    <w:rsid w:val="00D44D4C"/>
    <w:rsid w:val="00D45CE3"/>
    <w:rsid w:val="00D536DD"/>
    <w:rsid w:val="00D62D7C"/>
    <w:rsid w:val="00D706D6"/>
    <w:rsid w:val="00D7473D"/>
    <w:rsid w:val="00D7498E"/>
    <w:rsid w:val="00D74F6B"/>
    <w:rsid w:val="00D74FE3"/>
    <w:rsid w:val="00D80507"/>
    <w:rsid w:val="00D86378"/>
    <w:rsid w:val="00D866DF"/>
    <w:rsid w:val="00D92622"/>
    <w:rsid w:val="00D93260"/>
    <w:rsid w:val="00DA2030"/>
    <w:rsid w:val="00DA7358"/>
    <w:rsid w:val="00DB4E8E"/>
    <w:rsid w:val="00DB730B"/>
    <w:rsid w:val="00DC3CA2"/>
    <w:rsid w:val="00DD16DE"/>
    <w:rsid w:val="00DD57B1"/>
    <w:rsid w:val="00DE0CF2"/>
    <w:rsid w:val="00DE5BF8"/>
    <w:rsid w:val="00DE75AB"/>
    <w:rsid w:val="00DE7CD0"/>
    <w:rsid w:val="00DF069B"/>
    <w:rsid w:val="00DF49CF"/>
    <w:rsid w:val="00DF73BF"/>
    <w:rsid w:val="00DF7FF1"/>
    <w:rsid w:val="00E037ED"/>
    <w:rsid w:val="00E076D4"/>
    <w:rsid w:val="00E10E10"/>
    <w:rsid w:val="00E3050A"/>
    <w:rsid w:val="00E333DA"/>
    <w:rsid w:val="00E35814"/>
    <w:rsid w:val="00E536CB"/>
    <w:rsid w:val="00E541EC"/>
    <w:rsid w:val="00E546FE"/>
    <w:rsid w:val="00E64135"/>
    <w:rsid w:val="00E65A7B"/>
    <w:rsid w:val="00E669A3"/>
    <w:rsid w:val="00E83D4F"/>
    <w:rsid w:val="00EA2C3A"/>
    <w:rsid w:val="00EA41A0"/>
    <w:rsid w:val="00EB1308"/>
    <w:rsid w:val="00EB1F75"/>
    <w:rsid w:val="00EB20B3"/>
    <w:rsid w:val="00EB31D2"/>
    <w:rsid w:val="00EB6CDB"/>
    <w:rsid w:val="00EB6DB6"/>
    <w:rsid w:val="00EC10A9"/>
    <w:rsid w:val="00EC5258"/>
    <w:rsid w:val="00EC57B1"/>
    <w:rsid w:val="00EC6945"/>
    <w:rsid w:val="00ED014A"/>
    <w:rsid w:val="00ED1FA2"/>
    <w:rsid w:val="00EE0A9A"/>
    <w:rsid w:val="00EE17F7"/>
    <w:rsid w:val="00EE5C40"/>
    <w:rsid w:val="00EE7E8F"/>
    <w:rsid w:val="00EF2904"/>
    <w:rsid w:val="00F0041E"/>
    <w:rsid w:val="00F015EB"/>
    <w:rsid w:val="00F07E23"/>
    <w:rsid w:val="00F177A6"/>
    <w:rsid w:val="00F20A5C"/>
    <w:rsid w:val="00F216E7"/>
    <w:rsid w:val="00F249E8"/>
    <w:rsid w:val="00F26AE3"/>
    <w:rsid w:val="00F27370"/>
    <w:rsid w:val="00F303B7"/>
    <w:rsid w:val="00F44A60"/>
    <w:rsid w:val="00F45D87"/>
    <w:rsid w:val="00F469AC"/>
    <w:rsid w:val="00F50D3B"/>
    <w:rsid w:val="00F57492"/>
    <w:rsid w:val="00F6208A"/>
    <w:rsid w:val="00F72225"/>
    <w:rsid w:val="00F72871"/>
    <w:rsid w:val="00F81A41"/>
    <w:rsid w:val="00F857FC"/>
    <w:rsid w:val="00F86EC5"/>
    <w:rsid w:val="00F909FF"/>
    <w:rsid w:val="00F92A96"/>
    <w:rsid w:val="00FA1FFE"/>
    <w:rsid w:val="00FA2CE0"/>
    <w:rsid w:val="00FA3D96"/>
    <w:rsid w:val="00FA4F8E"/>
    <w:rsid w:val="00FC0FE3"/>
    <w:rsid w:val="00FC521E"/>
    <w:rsid w:val="00FC5406"/>
    <w:rsid w:val="00FC6170"/>
    <w:rsid w:val="00FD46FD"/>
    <w:rsid w:val="00FD5353"/>
    <w:rsid w:val="00FD5C4D"/>
    <w:rsid w:val="00FD77BC"/>
    <w:rsid w:val="00FE679F"/>
    <w:rsid w:val="00FE7582"/>
    <w:rsid w:val="00FF0021"/>
    <w:rsid w:val="00FF1593"/>
    <w:rsid w:val="00FF4A9E"/>
    <w:rsid w:val="00FF4E61"/>
    <w:rsid w:val="00FF7F28"/>
    <w:rsid w:val="016A0649"/>
    <w:rsid w:val="01E70E64"/>
    <w:rsid w:val="02024004"/>
    <w:rsid w:val="020C74BE"/>
    <w:rsid w:val="023B7D33"/>
    <w:rsid w:val="026F4567"/>
    <w:rsid w:val="02D908B8"/>
    <w:rsid w:val="032152F5"/>
    <w:rsid w:val="0348289E"/>
    <w:rsid w:val="03910BEB"/>
    <w:rsid w:val="03AA33DE"/>
    <w:rsid w:val="04020D40"/>
    <w:rsid w:val="0411467D"/>
    <w:rsid w:val="041D1575"/>
    <w:rsid w:val="042942E3"/>
    <w:rsid w:val="042E220B"/>
    <w:rsid w:val="04436716"/>
    <w:rsid w:val="04781A0B"/>
    <w:rsid w:val="04A91B89"/>
    <w:rsid w:val="04BA2023"/>
    <w:rsid w:val="04FF708C"/>
    <w:rsid w:val="05112FB2"/>
    <w:rsid w:val="05257DE5"/>
    <w:rsid w:val="05262974"/>
    <w:rsid w:val="05675C83"/>
    <w:rsid w:val="05A001E4"/>
    <w:rsid w:val="065622F4"/>
    <w:rsid w:val="06A12F17"/>
    <w:rsid w:val="06DB234E"/>
    <w:rsid w:val="07117EF5"/>
    <w:rsid w:val="076B5485"/>
    <w:rsid w:val="076E4103"/>
    <w:rsid w:val="087150EF"/>
    <w:rsid w:val="088D6C76"/>
    <w:rsid w:val="08DB1210"/>
    <w:rsid w:val="08FA140B"/>
    <w:rsid w:val="091128B4"/>
    <w:rsid w:val="09146C1E"/>
    <w:rsid w:val="092263E9"/>
    <w:rsid w:val="094E2CCB"/>
    <w:rsid w:val="09694018"/>
    <w:rsid w:val="099B0154"/>
    <w:rsid w:val="0A196103"/>
    <w:rsid w:val="0A923049"/>
    <w:rsid w:val="0AE254C3"/>
    <w:rsid w:val="0BCA5242"/>
    <w:rsid w:val="0C0B7C2B"/>
    <w:rsid w:val="0C527926"/>
    <w:rsid w:val="0C6D2071"/>
    <w:rsid w:val="0CCB43D0"/>
    <w:rsid w:val="0CFD39AC"/>
    <w:rsid w:val="0D2942EA"/>
    <w:rsid w:val="0D913B3D"/>
    <w:rsid w:val="0DC31A82"/>
    <w:rsid w:val="0DC444A6"/>
    <w:rsid w:val="0DFF5EF5"/>
    <w:rsid w:val="0E6574A4"/>
    <w:rsid w:val="0EAC1A53"/>
    <w:rsid w:val="0EF20268"/>
    <w:rsid w:val="0F206E36"/>
    <w:rsid w:val="0F7D081D"/>
    <w:rsid w:val="0FCD21E8"/>
    <w:rsid w:val="100827DD"/>
    <w:rsid w:val="10527CBA"/>
    <w:rsid w:val="106D40D7"/>
    <w:rsid w:val="10786E26"/>
    <w:rsid w:val="108C1A8E"/>
    <w:rsid w:val="113613DB"/>
    <w:rsid w:val="113D3E51"/>
    <w:rsid w:val="1143709C"/>
    <w:rsid w:val="116A3F39"/>
    <w:rsid w:val="11877731"/>
    <w:rsid w:val="11966B90"/>
    <w:rsid w:val="11C41216"/>
    <w:rsid w:val="12280F56"/>
    <w:rsid w:val="12394A8E"/>
    <w:rsid w:val="1258390C"/>
    <w:rsid w:val="12716D17"/>
    <w:rsid w:val="127F3E05"/>
    <w:rsid w:val="12841510"/>
    <w:rsid w:val="1299596E"/>
    <w:rsid w:val="13AA1DE7"/>
    <w:rsid w:val="13BC7845"/>
    <w:rsid w:val="14033291"/>
    <w:rsid w:val="1404046A"/>
    <w:rsid w:val="143B14CA"/>
    <w:rsid w:val="143C521D"/>
    <w:rsid w:val="14F87799"/>
    <w:rsid w:val="15B66EC1"/>
    <w:rsid w:val="15D06F94"/>
    <w:rsid w:val="164B5BE6"/>
    <w:rsid w:val="167A5AB7"/>
    <w:rsid w:val="16CB6AC3"/>
    <w:rsid w:val="16D96CEB"/>
    <w:rsid w:val="17215F32"/>
    <w:rsid w:val="17707100"/>
    <w:rsid w:val="179423DE"/>
    <w:rsid w:val="17C938F6"/>
    <w:rsid w:val="1804017D"/>
    <w:rsid w:val="18482D61"/>
    <w:rsid w:val="19CE5485"/>
    <w:rsid w:val="19E5593D"/>
    <w:rsid w:val="19FB6F0E"/>
    <w:rsid w:val="1A754511"/>
    <w:rsid w:val="1B835B99"/>
    <w:rsid w:val="1BE00DA6"/>
    <w:rsid w:val="1BFA0A32"/>
    <w:rsid w:val="1C252021"/>
    <w:rsid w:val="1C2E454B"/>
    <w:rsid w:val="1C3274A3"/>
    <w:rsid w:val="1C6061C5"/>
    <w:rsid w:val="1C7A7BE8"/>
    <w:rsid w:val="1C901B90"/>
    <w:rsid w:val="1D14112E"/>
    <w:rsid w:val="1D3A1AFC"/>
    <w:rsid w:val="1DD925FD"/>
    <w:rsid w:val="1DE55F0B"/>
    <w:rsid w:val="1E0A27CF"/>
    <w:rsid w:val="1E32188C"/>
    <w:rsid w:val="1E380731"/>
    <w:rsid w:val="1E4C5831"/>
    <w:rsid w:val="1E5F5CBE"/>
    <w:rsid w:val="1E6F5AD2"/>
    <w:rsid w:val="1E7D2E4B"/>
    <w:rsid w:val="1F142FFD"/>
    <w:rsid w:val="1F2C31D7"/>
    <w:rsid w:val="1F5D66EA"/>
    <w:rsid w:val="1F6763CA"/>
    <w:rsid w:val="1F7A11EC"/>
    <w:rsid w:val="1FAB0A8F"/>
    <w:rsid w:val="1FBC447A"/>
    <w:rsid w:val="20B11E96"/>
    <w:rsid w:val="20F50582"/>
    <w:rsid w:val="21544DFE"/>
    <w:rsid w:val="21667A93"/>
    <w:rsid w:val="21EC4A0C"/>
    <w:rsid w:val="22097CEF"/>
    <w:rsid w:val="221F49FE"/>
    <w:rsid w:val="23130E25"/>
    <w:rsid w:val="23217D39"/>
    <w:rsid w:val="23645B24"/>
    <w:rsid w:val="237B4AB0"/>
    <w:rsid w:val="23ED1038"/>
    <w:rsid w:val="23EF336F"/>
    <w:rsid w:val="23F910BB"/>
    <w:rsid w:val="242D5200"/>
    <w:rsid w:val="243D7784"/>
    <w:rsid w:val="244202F9"/>
    <w:rsid w:val="24551BB8"/>
    <w:rsid w:val="246F4781"/>
    <w:rsid w:val="24F83CD2"/>
    <w:rsid w:val="25072C0B"/>
    <w:rsid w:val="253C5EA1"/>
    <w:rsid w:val="25453733"/>
    <w:rsid w:val="25632745"/>
    <w:rsid w:val="25987D07"/>
    <w:rsid w:val="259B7DBA"/>
    <w:rsid w:val="25A40D12"/>
    <w:rsid w:val="25DC11EA"/>
    <w:rsid w:val="25E21C20"/>
    <w:rsid w:val="262537B2"/>
    <w:rsid w:val="265E0712"/>
    <w:rsid w:val="26C32B62"/>
    <w:rsid w:val="26D63441"/>
    <w:rsid w:val="27167136"/>
    <w:rsid w:val="27494A64"/>
    <w:rsid w:val="2767173F"/>
    <w:rsid w:val="2778308D"/>
    <w:rsid w:val="27815A4F"/>
    <w:rsid w:val="27A50C76"/>
    <w:rsid w:val="27D337AF"/>
    <w:rsid w:val="286A23F0"/>
    <w:rsid w:val="289E5635"/>
    <w:rsid w:val="28B409B4"/>
    <w:rsid w:val="2901625C"/>
    <w:rsid w:val="2A073423"/>
    <w:rsid w:val="2A5930F0"/>
    <w:rsid w:val="2A643AA2"/>
    <w:rsid w:val="2A68484D"/>
    <w:rsid w:val="2A7F1496"/>
    <w:rsid w:val="2ABC6CE1"/>
    <w:rsid w:val="2ABE564B"/>
    <w:rsid w:val="2AD135F9"/>
    <w:rsid w:val="2AE24131"/>
    <w:rsid w:val="2B430715"/>
    <w:rsid w:val="2B7211B9"/>
    <w:rsid w:val="2B8D05C4"/>
    <w:rsid w:val="2BCA4992"/>
    <w:rsid w:val="2BF92ECC"/>
    <w:rsid w:val="2C5F332D"/>
    <w:rsid w:val="2C861AD1"/>
    <w:rsid w:val="2C9D2EC3"/>
    <w:rsid w:val="2CC338BC"/>
    <w:rsid w:val="2CE675AA"/>
    <w:rsid w:val="2CEF0079"/>
    <w:rsid w:val="2D0A356E"/>
    <w:rsid w:val="2D4114A6"/>
    <w:rsid w:val="2D880661"/>
    <w:rsid w:val="2DB00EEE"/>
    <w:rsid w:val="2DBF6BD9"/>
    <w:rsid w:val="2DEA609B"/>
    <w:rsid w:val="2DF301D1"/>
    <w:rsid w:val="2DF64C49"/>
    <w:rsid w:val="2E1314EF"/>
    <w:rsid w:val="2E650D52"/>
    <w:rsid w:val="2E8A57EA"/>
    <w:rsid w:val="2EBF6288"/>
    <w:rsid w:val="2EC1207D"/>
    <w:rsid w:val="2EEE214D"/>
    <w:rsid w:val="2F0D2D11"/>
    <w:rsid w:val="2F133548"/>
    <w:rsid w:val="2F9B28CE"/>
    <w:rsid w:val="2F9C6646"/>
    <w:rsid w:val="2FF06D04"/>
    <w:rsid w:val="302107D6"/>
    <w:rsid w:val="30330FB6"/>
    <w:rsid w:val="30331B6A"/>
    <w:rsid w:val="307D149D"/>
    <w:rsid w:val="30C648E8"/>
    <w:rsid w:val="30DA7426"/>
    <w:rsid w:val="3150687A"/>
    <w:rsid w:val="31C078CE"/>
    <w:rsid w:val="31E90091"/>
    <w:rsid w:val="32002584"/>
    <w:rsid w:val="32081F37"/>
    <w:rsid w:val="323B75DD"/>
    <w:rsid w:val="32536746"/>
    <w:rsid w:val="32666DBF"/>
    <w:rsid w:val="32725AAC"/>
    <w:rsid w:val="32805FEE"/>
    <w:rsid w:val="32851613"/>
    <w:rsid w:val="32F26CA9"/>
    <w:rsid w:val="33C1527C"/>
    <w:rsid w:val="33C63C91"/>
    <w:rsid w:val="340C3D9A"/>
    <w:rsid w:val="340E7304"/>
    <w:rsid w:val="34A5359D"/>
    <w:rsid w:val="34A9783B"/>
    <w:rsid w:val="34BA37F6"/>
    <w:rsid w:val="34C96A62"/>
    <w:rsid w:val="350F5BA4"/>
    <w:rsid w:val="353258CD"/>
    <w:rsid w:val="35774F96"/>
    <w:rsid w:val="35862534"/>
    <w:rsid w:val="35892E6B"/>
    <w:rsid w:val="35F5260C"/>
    <w:rsid w:val="35FE5964"/>
    <w:rsid w:val="362C24D2"/>
    <w:rsid w:val="362E3A62"/>
    <w:rsid w:val="363C6176"/>
    <w:rsid w:val="36436ED1"/>
    <w:rsid w:val="364A50C5"/>
    <w:rsid w:val="36806379"/>
    <w:rsid w:val="370813A6"/>
    <w:rsid w:val="373510B6"/>
    <w:rsid w:val="37463929"/>
    <w:rsid w:val="37982DE5"/>
    <w:rsid w:val="37BF66D5"/>
    <w:rsid w:val="386F3EFB"/>
    <w:rsid w:val="38763ED8"/>
    <w:rsid w:val="38C41EAF"/>
    <w:rsid w:val="38CE513F"/>
    <w:rsid w:val="394A0D10"/>
    <w:rsid w:val="395018F3"/>
    <w:rsid w:val="39C70C8D"/>
    <w:rsid w:val="39F5707E"/>
    <w:rsid w:val="39F65F0B"/>
    <w:rsid w:val="3A4428F9"/>
    <w:rsid w:val="3A694AB4"/>
    <w:rsid w:val="3A6C5593"/>
    <w:rsid w:val="3A7A098B"/>
    <w:rsid w:val="3AE74C19"/>
    <w:rsid w:val="3AFD74CD"/>
    <w:rsid w:val="3B246B14"/>
    <w:rsid w:val="3B2D0933"/>
    <w:rsid w:val="3B81506E"/>
    <w:rsid w:val="3BC94845"/>
    <w:rsid w:val="3BFF2678"/>
    <w:rsid w:val="3C726E02"/>
    <w:rsid w:val="3C762C2D"/>
    <w:rsid w:val="3CC94A4B"/>
    <w:rsid w:val="3D2C3565"/>
    <w:rsid w:val="3D351B7B"/>
    <w:rsid w:val="3D540C38"/>
    <w:rsid w:val="3DAE0540"/>
    <w:rsid w:val="3DE25B6C"/>
    <w:rsid w:val="3E8E35FE"/>
    <w:rsid w:val="3EA72781"/>
    <w:rsid w:val="3EBF7C5B"/>
    <w:rsid w:val="3EF32459"/>
    <w:rsid w:val="3F162E33"/>
    <w:rsid w:val="3F4A37E5"/>
    <w:rsid w:val="3FBF00CB"/>
    <w:rsid w:val="3FC06CA7"/>
    <w:rsid w:val="40721429"/>
    <w:rsid w:val="408800F5"/>
    <w:rsid w:val="40976B6D"/>
    <w:rsid w:val="40C17713"/>
    <w:rsid w:val="40D275BD"/>
    <w:rsid w:val="40D67CF0"/>
    <w:rsid w:val="40D723EB"/>
    <w:rsid w:val="410F75EE"/>
    <w:rsid w:val="411244F2"/>
    <w:rsid w:val="412850C9"/>
    <w:rsid w:val="41517290"/>
    <w:rsid w:val="417C2179"/>
    <w:rsid w:val="41831414"/>
    <w:rsid w:val="41A92B2C"/>
    <w:rsid w:val="423637EB"/>
    <w:rsid w:val="42642FF3"/>
    <w:rsid w:val="42756FAE"/>
    <w:rsid w:val="429E325F"/>
    <w:rsid w:val="42BC698B"/>
    <w:rsid w:val="43827BD5"/>
    <w:rsid w:val="43C43532"/>
    <w:rsid w:val="43CE371E"/>
    <w:rsid w:val="43F413E4"/>
    <w:rsid w:val="44790232"/>
    <w:rsid w:val="448F5C7D"/>
    <w:rsid w:val="4493469B"/>
    <w:rsid w:val="44FD1BC3"/>
    <w:rsid w:val="45241E47"/>
    <w:rsid w:val="454F153E"/>
    <w:rsid w:val="45FD4563"/>
    <w:rsid w:val="466D75CA"/>
    <w:rsid w:val="46744BF9"/>
    <w:rsid w:val="46767546"/>
    <w:rsid w:val="46D53016"/>
    <w:rsid w:val="47380A67"/>
    <w:rsid w:val="47742F97"/>
    <w:rsid w:val="477D2D95"/>
    <w:rsid w:val="47D42D24"/>
    <w:rsid w:val="48464133"/>
    <w:rsid w:val="484F177F"/>
    <w:rsid w:val="485D4FC6"/>
    <w:rsid w:val="48701D4E"/>
    <w:rsid w:val="489B58E5"/>
    <w:rsid w:val="489F4D85"/>
    <w:rsid w:val="48B459D5"/>
    <w:rsid w:val="48E7726A"/>
    <w:rsid w:val="493A4AAE"/>
    <w:rsid w:val="49824FF3"/>
    <w:rsid w:val="49BE79E9"/>
    <w:rsid w:val="49DA7FF6"/>
    <w:rsid w:val="49EA437F"/>
    <w:rsid w:val="4A2A2D74"/>
    <w:rsid w:val="4A4B6EF1"/>
    <w:rsid w:val="4A71357D"/>
    <w:rsid w:val="4A871F75"/>
    <w:rsid w:val="4A8C71F8"/>
    <w:rsid w:val="4AD62C3E"/>
    <w:rsid w:val="4B8C1923"/>
    <w:rsid w:val="4BE038D6"/>
    <w:rsid w:val="4BFA55C2"/>
    <w:rsid w:val="4C1C2C27"/>
    <w:rsid w:val="4DB75442"/>
    <w:rsid w:val="4E2F0959"/>
    <w:rsid w:val="4E5B0513"/>
    <w:rsid w:val="4EC436C7"/>
    <w:rsid w:val="4F7C2E75"/>
    <w:rsid w:val="502C00D6"/>
    <w:rsid w:val="503F29AA"/>
    <w:rsid w:val="50533690"/>
    <w:rsid w:val="50655692"/>
    <w:rsid w:val="507F22C2"/>
    <w:rsid w:val="508C2CB2"/>
    <w:rsid w:val="50FB0FC7"/>
    <w:rsid w:val="50FD6AED"/>
    <w:rsid w:val="512A18AC"/>
    <w:rsid w:val="51705511"/>
    <w:rsid w:val="518965D2"/>
    <w:rsid w:val="51A927D1"/>
    <w:rsid w:val="51D3784E"/>
    <w:rsid w:val="51E0553D"/>
    <w:rsid w:val="521452B9"/>
    <w:rsid w:val="521C7446"/>
    <w:rsid w:val="52214363"/>
    <w:rsid w:val="5237602E"/>
    <w:rsid w:val="52AE78A0"/>
    <w:rsid w:val="52EA12C7"/>
    <w:rsid w:val="5319410F"/>
    <w:rsid w:val="532763F5"/>
    <w:rsid w:val="535100F7"/>
    <w:rsid w:val="53651CA0"/>
    <w:rsid w:val="536D782E"/>
    <w:rsid w:val="54282F86"/>
    <w:rsid w:val="543547EF"/>
    <w:rsid w:val="544D6641"/>
    <w:rsid w:val="545C58F9"/>
    <w:rsid w:val="548F2152"/>
    <w:rsid w:val="54A454D1"/>
    <w:rsid w:val="552C5BF2"/>
    <w:rsid w:val="55313209"/>
    <w:rsid w:val="553D3BE3"/>
    <w:rsid w:val="554271C4"/>
    <w:rsid w:val="555D5DAC"/>
    <w:rsid w:val="559B461B"/>
    <w:rsid w:val="559F7335"/>
    <w:rsid w:val="55EB652F"/>
    <w:rsid w:val="56221086"/>
    <w:rsid w:val="566040D3"/>
    <w:rsid w:val="566D4AB1"/>
    <w:rsid w:val="56CE4A87"/>
    <w:rsid w:val="56F25F17"/>
    <w:rsid w:val="573E49A1"/>
    <w:rsid w:val="57627073"/>
    <w:rsid w:val="57886DAD"/>
    <w:rsid w:val="5804679C"/>
    <w:rsid w:val="582B27A3"/>
    <w:rsid w:val="58424CFF"/>
    <w:rsid w:val="587F27ED"/>
    <w:rsid w:val="58A545FC"/>
    <w:rsid w:val="58BE0D31"/>
    <w:rsid w:val="58E8400D"/>
    <w:rsid w:val="5907623D"/>
    <w:rsid w:val="593E5EF4"/>
    <w:rsid w:val="59A46A2E"/>
    <w:rsid w:val="59A47BA3"/>
    <w:rsid w:val="59A541C5"/>
    <w:rsid w:val="59C608CE"/>
    <w:rsid w:val="5A4710C3"/>
    <w:rsid w:val="5ACD5782"/>
    <w:rsid w:val="5AEE1D63"/>
    <w:rsid w:val="5B597015"/>
    <w:rsid w:val="5B9C0D01"/>
    <w:rsid w:val="5BFE1B0B"/>
    <w:rsid w:val="5C0F3B78"/>
    <w:rsid w:val="5C4001D5"/>
    <w:rsid w:val="5C423182"/>
    <w:rsid w:val="5C9F5645"/>
    <w:rsid w:val="5CA73912"/>
    <w:rsid w:val="5CAB1AF3"/>
    <w:rsid w:val="5CAD6AC6"/>
    <w:rsid w:val="5DBC654B"/>
    <w:rsid w:val="5DE6679D"/>
    <w:rsid w:val="5E1C257C"/>
    <w:rsid w:val="5E4C2B8A"/>
    <w:rsid w:val="5E7C4771"/>
    <w:rsid w:val="5E8346F9"/>
    <w:rsid w:val="5E850121"/>
    <w:rsid w:val="5E892293"/>
    <w:rsid w:val="5EBA31AB"/>
    <w:rsid w:val="5FD35802"/>
    <w:rsid w:val="600E5330"/>
    <w:rsid w:val="60740BE4"/>
    <w:rsid w:val="60E314BC"/>
    <w:rsid w:val="60E63163"/>
    <w:rsid w:val="61CB28D4"/>
    <w:rsid w:val="61D21D10"/>
    <w:rsid w:val="61F8244A"/>
    <w:rsid w:val="627C21A5"/>
    <w:rsid w:val="62846659"/>
    <w:rsid w:val="62B664A6"/>
    <w:rsid w:val="62E713AB"/>
    <w:rsid w:val="62FC2BA1"/>
    <w:rsid w:val="63057863"/>
    <w:rsid w:val="63335C4F"/>
    <w:rsid w:val="63470B4A"/>
    <w:rsid w:val="635D21A2"/>
    <w:rsid w:val="63BC6C4F"/>
    <w:rsid w:val="64275B24"/>
    <w:rsid w:val="6441560E"/>
    <w:rsid w:val="64C64917"/>
    <w:rsid w:val="64D911C7"/>
    <w:rsid w:val="659B7203"/>
    <w:rsid w:val="65C854C3"/>
    <w:rsid w:val="660830E1"/>
    <w:rsid w:val="6646463A"/>
    <w:rsid w:val="666C3870"/>
    <w:rsid w:val="668651D7"/>
    <w:rsid w:val="6699426F"/>
    <w:rsid w:val="66C5630D"/>
    <w:rsid w:val="66E53E53"/>
    <w:rsid w:val="66E856F1"/>
    <w:rsid w:val="66EF4DC4"/>
    <w:rsid w:val="67212865"/>
    <w:rsid w:val="67286556"/>
    <w:rsid w:val="67611575"/>
    <w:rsid w:val="67CC755F"/>
    <w:rsid w:val="681C1AF7"/>
    <w:rsid w:val="6863705A"/>
    <w:rsid w:val="689E075E"/>
    <w:rsid w:val="69586B5E"/>
    <w:rsid w:val="695E7EED"/>
    <w:rsid w:val="697B5D8B"/>
    <w:rsid w:val="698D14F7"/>
    <w:rsid w:val="6A5F3F1C"/>
    <w:rsid w:val="6A9E2C97"/>
    <w:rsid w:val="6ABB1EE6"/>
    <w:rsid w:val="6ADF1E42"/>
    <w:rsid w:val="6B0A07A5"/>
    <w:rsid w:val="6B364B04"/>
    <w:rsid w:val="6B487E6A"/>
    <w:rsid w:val="6BCB6261"/>
    <w:rsid w:val="6BF5575A"/>
    <w:rsid w:val="6C6448B9"/>
    <w:rsid w:val="6C7071A2"/>
    <w:rsid w:val="6CCA7D73"/>
    <w:rsid w:val="6CDC0C21"/>
    <w:rsid w:val="6D400349"/>
    <w:rsid w:val="6D8A6CBC"/>
    <w:rsid w:val="6D9801FF"/>
    <w:rsid w:val="6DD62748"/>
    <w:rsid w:val="6E22598D"/>
    <w:rsid w:val="6EB43D55"/>
    <w:rsid w:val="6EF530A1"/>
    <w:rsid w:val="6F0B6CBF"/>
    <w:rsid w:val="6F194E75"/>
    <w:rsid w:val="6F6B5112"/>
    <w:rsid w:val="6F990663"/>
    <w:rsid w:val="6FB97C2B"/>
    <w:rsid w:val="6FD04834"/>
    <w:rsid w:val="6FE30B13"/>
    <w:rsid w:val="70095EE1"/>
    <w:rsid w:val="700B7377"/>
    <w:rsid w:val="70730637"/>
    <w:rsid w:val="707A560C"/>
    <w:rsid w:val="70D72A5F"/>
    <w:rsid w:val="70DF5DB7"/>
    <w:rsid w:val="70FA1008"/>
    <w:rsid w:val="715726DC"/>
    <w:rsid w:val="7172232C"/>
    <w:rsid w:val="718036B3"/>
    <w:rsid w:val="718E6279"/>
    <w:rsid w:val="71AA5DC0"/>
    <w:rsid w:val="71BE790F"/>
    <w:rsid w:val="71CB3FC1"/>
    <w:rsid w:val="71E511AB"/>
    <w:rsid w:val="7217385D"/>
    <w:rsid w:val="721D26F3"/>
    <w:rsid w:val="725F0F5E"/>
    <w:rsid w:val="72637BD0"/>
    <w:rsid w:val="726E32A9"/>
    <w:rsid w:val="73D63C74"/>
    <w:rsid w:val="73E334C8"/>
    <w:rsid w:val="73E346AF"/>
    <w:rsid w:val="73EA2AA9"/>
    <w:rsid w:val="74BF3F35"/>
    <w:rsid w:val="75243D99"/>
    <w:rsid w:val="754200FE"/>
    <w:rsid w:val="754223AE"/>
    <w:rsid w:val="754C50C8"/>
    <w:rsid w:val="75792336"/>
    <w:rsid w:val="75B169F5"/>
    <w:rsid w:val="75BA294F"/>
    <w:rsid w:val="763B583E"/>
    <w:rsid w:val="764566BC"/>
    <w:rsid w:val="76740264"/>
    <w:rsid w:val="76775080"/>
    <w:rsid w:val="76B54F8B"/>
    <w:rsid w:val="76C218DE"/>
    <w:rsid w:val="76E55CA7"/>
    <w:rsid w:val="76F907B1"/>
    <w:rsid w:val="76FC024A"/>
    <w:rsid w:val="775661AB"/>
    <w:rsid w:val="77AF7484"/>
    <w:rsid w:val="77BC650A"/>
    <w:rsid w:val="77C23394"/>
    <w:rsid w:val="77C501A5"/>
    <w:rsid w:val="77CD263E"/>
    <w:rsid w:val="78177BE5"/>
    <w:rsid w:val="78721D35"/>
    <w:rsid w:val="78C86137"/>
    <w:rsid w:val="78E1112B"/>
    <w:rsid w:val="78E539F5"/>
    <w:rsid w:val="78FA566B"/>
    <w:rsid w:val="790A14F7"/>
    <w:rsid w:val="793F0642"/>
    <w:rsid w:val="79673892"/>
    <w:rsid w:val="796C45A1"/>
    <w:rsid w:val="798017B9"/>
    <w:rsid w:val="7A301027"/>
    <w:rsid w:val="7A5D61CD"/>
    <w:rsid w:val="7A894DE1"/>
    <w:rsid w:val="7A9C5423"/>
    <w:rsid w:val="7A9E640E"/>
    <w:rsid w:val="7AFF7594"/>
    <w:rsid w:val="7B05466C"/>
    <w:rsid w:val="7B081E70"/>
    <w:rsid w:val="7B385373"/>
    <w:rsid w:val="7B4C7631"/>
    <w:rsid w:val="7B7B492E"/>
    <w:rsid w:val="7C053DC3"/>
    <w:rsid w:val="7C1E7910"/>
    <w:rsid w:val="7C217284"/>
    <w:rsid w:val="7C5036C5"/>
    <w:rsid w:val="7C7521E0"/>
    <w:rsid w:val="7CB16AE5"/>
    <w:rsid w:val="7CB42228"/>
    <w:rsid w:val="7CDF19A0"/>
    <w:rsid w:val="7D1E37C3"/>
    <w:rsid w:val="7D2C40BC"/>
    <w:rsid w:val="7EA07F35"/>
    <w:rsid w:val="7EEF7B40"/>
    <w:rsid w:val="7F7F3AA1"/>
    <w:rsid w:val="7F8E46C8"/>
    <w:rsid w:val="7FAE5BB1"/>
    <w:rsid w:val="7FFD14D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5930</Words>
  <Characters>6234</Characters>
  <Lines>15</Lines>
  <Paragraphs>4</Paragraphs>
  <TotalTime>0</TotalTime>
  <ScaleCrop>false</ScaleCrop>
  <LinksUpToDate>false</LinksUpToDate>
  <CharactersWithSpaces>6450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2014-04-28T06:20:00Z</dcterms:created>
  <dc:creator>微软用户</dc:creator>
  <cp:lastModifiedBy>DELL</cp:lastModifiedBy>
  <cp:lastPrinted>2025-05-19T04:03:00Z</cp:lastPrinted>
  <dcterms:modified xsi:type="dcterms:W3CDTF">2025-09-03T08:48:47Z</dcterms:modified>
  <dc:title>工矿产品购销合同</dc:title>
  <cp:revision>488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9DCB23795C6748A9A8691641F26FBAD4_13</vt:lpwstr>
  </property>
  <property fmtid="{D5CDD505-2E9C-101B-9397-08002B2CF9AE}" pid="4" name="KSOTemplateDocerSaveRecord">
    <vt:lpwstr>eyJoZGlkIjoiZDZhZjlkNGQwY2MxYzU2NGM4N2E1ZTg0MzdkNjlkNTEiLCJ1c2VySWQiOiIyMDE5MTY5MDEifQ==</vt:lpwstr>
  </property>
</Properties>
</file>